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E8F5" w14:textId="2AA68ABD" w:rsidR="00FD3AAF" w:rsidRDefault="002C7BBF" w:rsidP="00D70447">
      <w:pPr>
        <w:rPr>
          <w:rFonts w:cs="Arial"/>
          <w:szCs w:val="24"/>
        </w:rPr>
      </w:pPr>
      <w:bookmarkStart w:id="0" w:name="_Toc159854085"/>
      <w:bookmarkStart w:id="1" w:name="_Hlk76572557"/>
      <w:bookmarkStart w:id="2" w:name="_Hlk76572625"/>
      <w:bookmarkStart w:id="3" w:name="_Toc159854084"/>
      <w:r w:rsidRPr="00F22709">
        <w:rPr>
          <w:rFonts w:cs="Arial"/>
          <w:szCs w:val="24"/>
        </w:rPr>
        <w:t>La Superintendencia Nacional de Salud se compromete a gestionar los riesgos de gestión, de corrupción, fiscales y de seguridad y privacidad de la información que puedan afectar el cumplimiento de los objetivos institucionales y de los procesos, a través de la identificación, análisis, evaluación y tratamiento de los riesgos, con el fin de prevenir o minimizar la probabilidad de ocurrencia e impacto de estos eventos en la gestión institucional</w:t>
      </w:r>
      <w:r w:rsidR="003F76C8" w:rsidRPr="00F22709">
        <w:rPr>
          <w:rFonts w:cs="Arial"/>
          <w:szCs w:val="24"/>
        </w:rPr>
        <w:t>, a través del desarrollo de los principios rectores del Modelo Estándar de Control Intern</w:t>
      </w:r>
      <w:r w:rsidR="005169C8">
        <w:rPr>
          <w:rFonts w:cs="Arial"/>
          <w:szCs w:val="24"/>
        </w:rPr>
        <w:t>o</w:t>
      </w:r>
      <w:r w:rsidR="00FD3AAF">
        <w:rPr>
          <w:rFonts w:cs="Arial"/>
          <w:szCs w:val="24"/>
        </w:rPr>
        <w:t xml:space="preserve"> y las disposiciones de la </w:t>
      </w:r>
      <w:r w:rsidR="00FD3AAF" w:rsidRPr="00F22709">
        <w:rPr>
          <w:rFonts w:cs="Arial"/>
          <w:szCs w:val="24"/>
        </w:rPr>
        <w:t xml:space="preserve">Guía para la administración del riesgo y el diseño de controles en entidades públicas </w:t>
      </w:r>
      <w:r w:rsidR="00FD3AAF">
        <w:rPr>
          <w:rFonts w:cs="Arial"/>
          <w:szCs w:val="24"/>
        </w:rPr>
        <w:t>del</w:t>
      </w:r>
      <w:r w:rsidR="00FD3AAF" w:rsidRPr="00F22709">
        <w:rPr>
          <w:rFonts w:cs="Arial"/>
          <w:szCs w:val="24"/>
        </w:rPr>
        <w:t xml:space="preserve"> D</w:t>
      </w:r>
      <w:r w:rsidR="00FD3AAF">
        <w:rPr>
          <w:rFonts w:cs="Arial"/>
          <w:szCs w:val="24"/>
        </w:rPr>
        <w:t xml:space="preserve">epartamento </w:t>
      </w:r>
      <w:r w:rsidR="00FD3AAF" w:rsidRPr="00F22709">
        <w:rPr>
          <w:rFonts w:cs="Arial"/>
          <w:szCs w:val="24"/>
        </w:rPr>
        <w:t>A</w:t>
      </w:r>
      <w:r w:rsidR="00FD3AAF">
        <w:rPr>
          <w:rFonts w:cs="Arial"/>
          <w:szCs w:val="24"/>
        </w:rPr>
        <w:t xml:space="preserve">dministrativo de la </w:t>
      </w:r>
      <w:r w:rsidR="00FD3AAF" w:rsidRPr="00F22709">
        <w:rPr>
          <w:rFonts w:cs="Arial"/>
          <w:szCs w:val="24"/>
        </w:rPr>
        <w:t>F</w:t>
      </w:r>
      <w:r w:rsidR="00FD3AAF">
        <w:rPr>
          <w:rFonts w:cs="Arial"/>
          <w:szCs w:val="24"/>
        </w:rPr>
        <w:t xml:space="preserve">unción </w:t>
      </w:r>
      <w:r w:rsidR="00FD3AAF" w:rsidRPr="00F22709">
        <w:rPr>
          <w:rFonts w:cs="Arial"/>
          <w:szCs w:val="24"/>
        </w:rPr>
        <w:t>P</w:t>
      </w:r>
      <w:r w:rsidR="00FD3AAF">
        <w:rPr>
          <w:rFonts w:cs="Arial"/>
          <w:szCs w:val="24"/>
        </w:rPr>
        <w:t>ública.</w:t>
      </w:r>
    </w:p>
    <w:p w14:paraId="404E6E07" w14:textId="0F2BBA76" w:rsidR="00FD3AAF" w:rsidRDefault="00FD3AAF" w:rsidP="00D70447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 </w:t>
      </w:r>
      <w:r w:rsidR="00D70447" w:rsidRPr="00D771AC">
        <w:rPr>
          <w:rFonts w:cs="Arial"/>
          <w:szCs w:val="24"/>
        </w:rPr>
        <w:t xml:space="preserve">Esta política tiene alcance a todos los servidores, procesos y sedes donde opere directamente la Superintendencia Nacional de Salud, así como las </w:t>
      </w:r>
      <w:r w:rsidR="00D70447" w:rsidRPr="00525EB3">
        <w:rPr>
          <w:rFonts w:cs="Arial"/>
          <w:szCs w:val="24"/>
        </w:rPr>
        <w:t>áreas tercerizadas u otras instancias que afecten la prestación del servicio.  No obstante, no cubre los riesgos de seguridad y salud en el trabajo</w:t>
      </w:r>
      <w:r w:rsidR="005471D0" w:rsidRPr="00525EB3">
        <w:rPr>
          <w:rFonts w:cs="Arial"/>
          <w:szCs w:val="24"/>
        </w:rPr>
        <w:t xml:space="preserve"> y gestión ambiental</w:t>
      </w:r>
      <w:r w:rsidR="00D70447" w:rsidRPr="00525EB3">
        <w:rPr>
          <w:rFonts w:cs="Arial"/>
          <w:szCs w:val="24"/>
        </w:rPr>
        <w:t>, toda vez que su desarrollo tiene una gestión diferente por su especificidad en la norma vigente.</w:t>
      </w:r>
    </w:p>
    <w:p w14:paraId="0FE3B56B" w14:textId="45A12C5D" w:rsidR="00D77984" w:rsidRPr="00D77984" w:rsidRDefault="00D771AC" w:rsidP="00902472">
      <w:pPr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D77984" w:rsidRPr="00D77984">
        <w:rPr>
          <w:rFonts w:cs="Arial"/>
          <w:szCs w:val="24"/>
        </w:rPr>
        <w:t>ara su implementación es necesario tener en cuenta los siguientes niveles</w:t>
      </w:r>
      <w:r w:rsidR="00D77984">
        <w:rPr>
          <w:rFonts w:cs="Arial"/>
          <w:szCs w:val="24"/>
        </w:rPr>
        <w:t>:</w:t>
      </w:r>
    </w:p>
    <w:p w14:paraId="407B7E37" w14:textId="7D50629A" w:rsidR="00902472" w:rsidRPr="00F22709" w:rsidRDefault="005A7ED8" w:rsidP="00902472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N</w:t>
      </w:r>
      <w:r w:rsidR="00010F50" w:rsidRPr="005A7ED8">
        <w:rPr>
          <w:rFonts w:cs="Arial"/>
          <w:b/>
          <w:bCs/>
          <w:szCs w:val="24"/>
        </w:rPr>
        <w:t>ivel de aceptación del riesgo</w:t>
      </w:r>
      <w:r>
        <w:rPr>
          <w:rFonts w:cs="Arial"/>
          <w:b/>
          <w:bCs/>
          <w:szCs w:val="24"/>
        </w:rPr>
        <w:t>:</w:t>
      </w:r>
      <w:r w:rsidR="00010F50" w:rsidRPr="005A7ED8">
        <w:rPr>
          <w:rFonts w:cs="Arial"/>
          <w:b/>
          <w:bCs/>
          <w:szCs w:val="24"/>
        </w:rPr>
        <w:t xml:space="preserve"> </w:t>
      </w:r>
      <w:r w:rsidR="00432DA6" w:rsidRPr="00F22709">
        <w:rPr>
          <w:rFonts w:cs="Arial"/>
          <w:szCs w:val="24"/>
        </w:rPr>
        <w:t xml:space="preserve">los </w:t>
      </w:r>
      <w:r w:rsidR="00902472" w:rsidRPr="00F22709">
        <w:rPr>
          <w:rFonts w:cs="Arial"/>
          <w:szCs w:val="24"/>
        </w:rPr>
        <w:t xml:space="preserve">riesgos de gestión, corrupción, fiscales y de seguridad y privacidad de la información, ubicados en la zona extrema, alta o moderada del mapa de calor, después de haber identificado el riesgo residual serán considerados inaceptables o intolerables y deberán ser tratados por la entidad, si, por el contrario, se ubican en zona baja del mapa de calor los riesgos serán aceptables y no requerirán ser tratados. No </w:t>
      </w:r>
      <w:r w:rsidR="00902472" w:rsidRPr="00F22709">
        <w:rPr>
          <w:rFonts w:cs="Arial"/>
          <w:szCs w:val="24"/>
        </w:rPr>
        <w:lastRenderedPageBreak/>
        <w:t>obstante, deberán ser monitoreados semestralmente para garantizar su adecuada gestión.</w:t>
      </w:r>
    </w:p>
    <w:p w14:paraId="5CA5EBD4" w14:textId="77777777" w:rsidR="00902472" w:rsidRPr="00F22709" w:rsidRDefault="00902472" w:rsidP="00902472">
      <w:pPr>
        <w:rPr>
          <w:rFonts w:cs="Arial"/>
          <w:szCs w:val="24"/>
        </w:rPr>
      </w:pPr>
      <w:r w:rsidRPr="00F22709">
        <w:rPr>
          <w:rFonts w:cs="Arial"/>
          <w:szCs w:val="24"/>
        </w:rPr>
        <w:t>Los riesgos de corrupción y fiscales no se podrán ubicar en zona de riesgo baja; en consecuencia, no tendrán en ninguna circunstancia un nivel tolerable de aceptación. Para todos los riesgos de corrupción y fiscales identificados se deberán establecer acciones de tratamiento y deberán ser monitoreados.</w:t>
      </w:r>
    </w:p>
    <w:p w14:paraId="5BF25357" w14:textId="04E64C45" w:rsidR="008F44EB" w:rsidRPr="00F22709" w:rsidRDefault="005A7ED8" w:rsidP="00902472">
      <w:pPr>
        <w:rPr>
          <w:rFonts w:cs="Arial"/>
          <w:szCs w:val="24"/>
          <w:lang w:val="es-ES"/>
        </w:rPr>
      </w:pPr>
      <w:r>
        <w:rPr>
          <w:rFonts w:cs="Arial"/>
          <w:b/>
          <w:bCs/>
          <w:szCs w:val="24"/>
          <w:lang w:val="es-ES"/>
        </w:rPr>
        <w:t>N</w:t>
      </w:r>
      <w:r w:rsidR="00902472" w:rsidRPr="005A7ED8">
        <w:rPr>
          <w:rFonts w:cs="Arial"/>
          <w:b/>
          <w:bCs/>
          <w:szCs w:val="24"/>
          <w:lang w:val="es-ES"/>
        </w:rPr>
        <w:t>iveles para calificar el impacto</w:t>
      </w:r>
      <w:r>
        <w:rPr>
          <w:rFonts w:cs="Arial"/>
          <w:szCs w:val="24"/>
          <w:lang w:val="es-ES"/>
        </w:rPr>
        <w:t>:</w:t>
      </w:r>
      <w:r w:rsidR="00902472" w:rsidRPr="00F22709">
        <w:rPr>
          <w:rFonts w:cs="Arial"/>
          <w:szCs w:val="24"/>
          <w:lang w:val="es-ES"/>
        </w:rPr>
        <w:t xml:space="preserve"> los riesgos de gestión, corrupción, fiscales y seguridad y privacidad de la información para la Supersalud están articulados con los lineamientos establecidos por el Departamento Administrativo de la Función Pública. A continuación, se relacionan los criterios de calificación de impactos para los diferentes tipos de riesgos:</w:t>
      </w:r>
    </w:p>
    <w:p w14:paraId="21C3D832" w14:textId="0AE33531" w:rsidR="00902472" w:rsidRPr="00F22709" w:rsidRDefault="00902472" w:rsidP="00902472">
      <w:pPr>
        <w:pStyle w:val="Descripcin"/>
        <w:rPr>
          <w:rFonts w:cs="Arial"/>
          <w:sz w:val="24"/>
          <w:szCs w:val="24"/>
        </w:rPr>
      </w:pPr>
      <w:r w:rsidRPr="00F22709">
        <w:rPr>
          <w:rFonts w:cs="Arial"/>
          <w:sz w:val="24"/>
          <w:szCs w:val="24"/>
        </w:rPr>
        <w:t xml:space="preserve">Tabla </w:t>
      </w:r>
      <w:r w:rsidRPr="00F22709">
        <w:rPr>
          <w:rFonts w:cs="Arial"/>
          <w:sz w:val="24"/>
          <w:szCs w:val="24"/>
        </w:rPr>
        <w:fldChar w:fldCharType="begin"/>
      </w:r>
      <w:r w:rsidRPr="00F22709">
        <w:rPr>
          <w:rFonts w:cs="Arial"/>
          <w:sz w:val="24"/>
          <w:szCs w:val="24"/>
        </w:rPr>
        <w:instrText xml:space="preserve"> SEQ Tabla \* ARABIC </w:instrText>
      </w:r>
      <w:r w:rsidRPr="00F22709">
        <w:rPr>
          <w:rFonts w:cs="Arial"/>
          <w:sz w:val="24"/>
          <w:szCs w:val="24"/>
        </w:rPr>
        <w:fldChar w:fldCharType="separate"/>
      </w:r>
      <w:r w:rsidR="00203D99" w:rsidRPr="00F22709">
        <w:rPr>
          <w:rFonts w:cs="Arial"/>
          <w:noProof/>
          <w:sz w:val="24"/>
          <w:szCs w:val="24"/>
        </w:rPr>
        <w:t>1</w:t>
      </w:r>
      <w:r w:rsidRPr="00F22709">
        <w:rPr>
          <w:rFonts w:cs="Arial"/>
          <w:sz w:val="24"/>
          <w:szCs w:val="24"/>
        </w:rPr>
        <w:fldChar w:fldCharType="end"/>
      </w:r>
      <w:r w:rsidR="00B26CC4" w:rsidRPr="00F22709">
        <w:rPr>
          <w:rFonts w:cs="Arial"/>
          <w:sz w:val="24"/>
          <w:szCs w:val="24"/>
        </w:rPr>
        <w:t xml:space="preserve"> </w:t>
      </w:r>
      <w:r w:rsidRPr="00F22709">
        <w:rPr>
          <w:rFonts w:cs="Arial"/>
          <w:sz w:val="24"/>
          <w:szCs w:val="24"/>
        </w:rPr>
        <w:t>Criterios para calificar impacto/afectación de los riesgos de gestión, fiscales y de seguridad y privacidad de la información</w:t>
      </w:r>
    </w:p>
    <w:tbl>
      <w:tblPr>
        <w:tblStyle w:val="Tablaconcuadrcula6concolores-nfasis1"/>
        <w:tblpPr w:leftFromText="180" w:rightFromText="180" w:vertAnchor="text" w:horzAnchor="margin" w:tblpY="404"/>
        <w:tblW w:w="8120" w:type="dxa"/>
        <w:tblLook w:val="04A0" w:firstRow="1" w:lastRow="0" w:firstColumn="1" w:lastColumn="0" w:noHBand="0" w:noVBand="1"/>
        <w:tblCaption w:val="Tabla criterios para calificar el impacto de los riesgos de Seguridad y Privacidad de la Información"/>
        <w:tblDescription w:val="Describe los diferentes rangos de calificación de los riesgos de Seguridad y Privacidad de la Información de acuerdo a la afectación económica o reputacional con la que se asocia. Fuente"/>
      </w:tblPr>
      <w:tblGrid>
        <w:gridCol w:w="2282"/>
        <w:gridCol w:w="2323"/>
        <w:gridCol w:w="3515"/>
      </w:tblGrid>
      <w:tr w:rsidR="00902472" w:rsidRPr="00F22709" w14:paraId="52B6D238" w14:textId="77777777" w:rsidTr="00CC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FBFBF" w:themeFill="background1" w:themeFillShade="BF"/>
            <w:noWrap/>
            <w:hideMark/>
          </w:tcPr>
          <w:p w14:paraId="33EEB5CE" w14:textId="3464D1FD" w:rsidR="00902472" w:rsidRPr="00F22709" w:rsidRDefault="008F44EB" w:rsidP="0077201A">
            <w:pPr>
              <w:spacing w:before="0"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 RANGO DE CALIFICACIÓN</w:t>
            </w:r>
          </w:p>
        </w:tc>
        <w:tc>
          <w:tcPr>
            <w:tcW w:w="2323" w:type="dxa"/>
            <w:shd w:val="clear" w:color="auto" w:fill="BFBFBF" w:themeFill="background1" w:themeFillShade="BF"/>
            <w:noWrap/>
            <w:hideMark/>
          </w:tcPr>
          <w:p w14:paraId="67C17327" w14:textId="03836423" w:rsidR="00902472" w:rsidRPr="00F22709" w:rsidRDefault="008F44EB" w:rsidP="0077201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AFECTACIÓN ECONÓMICA</w:t>
            </w:r>
          </w:p>
        </w:tc>
        <w:tc>
          <w:tcPr>
            <w:tcW w:w="3515" w:type="dxa"/>
            <w:shd w:val="clear" w:color="auto" w:fill="BFBFBF" w:themeFill="background1" w:themeFillShade="BF"/>
            <w:noWrap/>
            <w:hideMark/>
          </w:tcPr>
          <w:p w14:paraId="036B9EC6" w14:textId="78912255" w:rsidR="00902472" w:rsidRPr="00F22709" w:rsidRDefault="008F44EB" w:rsidP="0077201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AFECTACIÓN REPUTACIONAL</w:t>
            </w:r>
          </w:p>
        </w:tc>
      </w:tr>
      <w:tr w:rsidR="00902472" w:rsidRPr="00F22709" w14:paraId="3F682CB4" w14:textId="77777777" w:rsidTr="00266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92D050"/>
            <w:noWrap/>
            <w:hideMark/>
          </w:tcPr>
          <w:p w14:paraId="4AAB8257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Leve 20%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30B40ED6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Afectación menor a 10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06A9E94F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algún área de la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organización</w:t>
            </w:r>
          </w:p>
        </w:tc>
      </w:tr>
      <w:tr w:rsidR="00902472" w:rsidRPr="00F22709" w14:paraId="28C22A43" w14:textId="77777777" w:rsidTr="00266F1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02FC55"/>
            <w:noWrap/>
            <w:hideMark/>
          </w:tcPr>
          <w:p w14:paraId="1A87C74A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Menor 40%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65F529D0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a 10 y menor o igual a 50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0951F8CB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internamente, de conocimiento general nivel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interno, de junta directiva y accionistas y/o de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proveedores</w:t>
            </w:r>
          </w:p>
        </w:tc>
      </w:tr>
      <w:tr w:rsidR="00902472" w:rsidRPr="00F22709" w14:paraId="6C09C865" w14:textId="77777777" w:rsidTr="00A0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66"/>
            <w:noWrap/>
            <w:hideMark/>
          </w:tcPr>
          <w:p w14:paraId="3BDC0DC1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lastRenderedPageBreak/>
              <w:t>Moderado 60%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04086E8C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a 50 y menor o igual a 100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5285A4A2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con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algunos usuarios (grupos de valor) de relevancia frente al logro de los objetivos.</w:t>
            </w:r>
          </w:p>
        </w:tc>
      </w:tr>
      <w:tr w:rsidR="00902472" w:rsidRPr="00F22709" w14:paraId="28B34577" w14:textId="77777777" w:rsidTr="00A06D8E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CC66"/>
            <w:noWrap/>
            <w:hideMark/>
          </w:tcPr>
          <w:p w14:paraId="4E59B9F6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Mayor 80%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633FE22A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dark1"/>
                <w:kern w:val="24"/>
                <w:szCs w:val="24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100 y menor o igual a 500</w:t>
            </w:r>
          </w:p>
          <w:p w14:paraId="24D45042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0017B624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(grupos de Valor y grupos de interés) con efecto publicitario sostenido a nivel de sector administrativo, nivel departamental o municipal.</w:t>
            </w:r>
            <w:r w:rsidRPr="00F22709">
              <w:rPr>
                <w:rFonts w:cs="Arial"/>
                <w:color w:val="auto"/>
                <w:szCs w:val="24"/>
              </w:rPr>
              <w:t xml:space="preserve"> </w:t>
            </w:r>
          </w:p>
        </w:tc>
      </w:tr>
      <w:tr w:rsidR="00902472" w:rsidRPr="00F22709" w14:paraId="6B6DB89F" w14:textId="77777777" w:rsidTr="00A0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0000"/>
            <w:noWrap/>
            <w:hideMark/>
          </w:tcPr>
          <w:p w14:paraId="007CBD87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Catastrófico 100%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4C7F963F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a 500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55B3BD30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a nivel nacional (grupos de valor y grupos de interés) con efecto publicitario sostenido a nivel país</w:t>
            </w:r>
            <w:r w:rsidRPr="00F22709">
              <w:rPr>
                <w:rFonts w:cs="Arial"/>
                <w:color w:val="auto"/>
                <w:szCs w:val="24"/>
              </w:rPr>
              <w:t xml:space="preserve">. </w:t>
            </w:r>
          </w:p>
        </w:tc>
      </w:tr>
    </w:tbl>
    <w:bookmarkEnd w:id="0"/>
    <w:p w14:paraId="7496A031" w14:textId="37BE1721" w:rsidR="00A4758B" w:rsidRPr="00D77984" w:rsidRDefault="008F44EB" w:rsidP="00D77984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Fuente: Guía para la administración del riesgo y el diseño de controles en entidades públicas V6. DAFP </w:t>
      </w:r>
    </w:p>
    <w:p w14:paraId="4C8EA177" w14:textId="12EBA145" w:rsidR="008F44EB" w:rsidRPr="00F22709" w:rsidRDefault="008F44EB" w:rsidP="008F44EB">
      <w:pPr>
        <w:pStyle w:val="Descripcin"/>
        <w:rPr>
          <w:rFonts w:cs="Arial"/>
          <w:color w:val="808080" w:themeColor="background1" w:themeShade="80"/>
          <w:sz w:val="24"/>
          <w:szCs w:val="24"/>
        </w:rPr>
      </w:pPr>
      <w:r w:rsidRPr="00F22709">
        <w:rPr>
          <w:rFonts w:cs="Arial"/>
          <w:sz w:val="24"/>
          <w:szCs w:val="24"/>
        </w:rPr>
        <w:t xml:space="preserve">Tabla </w:t>
      </w:r>
      <w:r w:rsidRPr="00F22709">
        <w:rPr>
          <w:rFonts w:cs="Arial"/>
          <w:sz w:val="24"/>
          <w:szCs w:val="24"/>
        </w:rPr>
        <w:fldChar w:fldCharType="begin"/>
      </w:r>
      <w:r w:rsidRPr="00F22709">
        <w:rPr>
          <w:rFonts w:cs="Arial"/>
          <w:sz w:val="24"/>
          <w:szCs w:val="24"/>
        </w:rPr>
        <w:instrText xml:space="preserve"> SEQ Tabla \* ARABIC </w:instrText>
      </w:r>
      <w:r w:rsidRPr="00F22709">
        <w:rPr>
          <w:rFonts w:cs="Arial"/>
          <w:sz w:val="24"/>
          <w:szCs w:val="24"/>
        </w:rPr>
        <w:fldChar w:fldCharType="separate"/>
      </w:r>
      <w:r w:rsidR="00203D99" w:rsidRPr="00F22709">
        <w:rPr>
          <w:rFonts w:cs="Arial"/>
          <w:noProof/>
          <w:sz w:val="24"/>
          <w:szCs w:val="24"/>
        </w:rPr>
        <w:t>2</w:t>
      </w:r>
      <w:r w:rsidRPr="00F22709">
        <w:rPr>
          <w:rFonts w:cs="Arial"/>
          <w:sz w:val="24"/>
          <w:szCs w:val="24"/>
        </w:rPr>
        <w:fldChar w:fldCharType="end"/>
      </w:r>
      <w:r w:rsidRPr="00F22709">
        <w:rPr>
          <w:rFonts w:cs="Arial"/>
          <w:sz w:val="24"/>
          <w:szCs w:val="24"/>
        </w:rPr>
        <w:t xml:space="preserve"> Criterios para calificar impacto de riesgos de corrupción</w:t>
      </w:r>
    </w:p>
    <w:tbl>
      <w:tblPr>
        <w:tblStyle w:val="Tablaconcuadrcula6concolores-nfasis1"/>
        <w:tblW w:w="8602" w:type="dxa"/>
        <w:tblLook w:val="04A0" w:firstRow="1" w:lastRow="0" w:firstColumn="1" w:lastColumn="0" w:noHBand="0" w:noVBand="1"/>
      </w:tblPr>
      <w:tblGrid>
        <w:gridCol w:w="576"/>
        <w:gridCol w:w="6343"/>
        <w:gridCol w:w="873"/>
        <w:gridCol w:w="810"/>
      </w:tblGrid>
      <w:tr w:rsidR="008F44EB" w:rsidRPr="00F22709" w14:paraId="5003DB9D" w14:textId="77777777" w:rsidTr="008F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noWrap/>
            <w:hideMark/>
          </w:tcPr>
          <w:p w14:paraId="2172FF78" w14:textId="17DE374F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NO</w:t>
            </w:r>
          </w:p>
        </w:tc>
        <w:tc>
          <w:tcPr>
            <w:tcW w:w="6343" w:type="dxa"/>
            <w:vMerge w:val="restart"/>
            <w:tcBorders>
              <w:right w:val="single" w:sz="4" w:space="0" w:color="548DD4" w:themeColor="text2" w:themeTint="99"/>
            </w:tcBorders>
            <w:noWrap/>
            <w:hideMark/>
          </w:tcPr>
          <w:p w14:paraId="53BF5FEE" w14:textId="70DDAF5B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PREGUNTA</w:t>
            </w:r>
          </w:p>
        </w:tc>
        <w:tc>
          <w:tcPr>
            <w:tcW w:w="168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noWrap/>
            <w:hideMark/>
          </w:tcPr>
          <w:p w14:paraId="1CF3CCC8" w14:textId="3FB64B6B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RESPUESTA</w:t>
            </w:r>
          </w:p>
        </w:tc>
      </w:tr>
      <w:tr w:rsidR="008F44EB" w:rsidRPr="00F22709" w14:paraId="68CD2827" w14:textId="77777777" w:rsidTr="008F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hideMark/>
          </w:tcPr>
          <w:p w14:paraId="3F0CF06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Theme="majorEastAsia" w:cs="Arial"/>
                <w:color w:val="4F81BD" w:themeColor="accent1"/>
                <w:szCs w:val="24"/>
              </w:rPr>
            </w:pPr>
          </w:p>
        </w:tc>
        <w:tc>
          <w:tcPr>
            <w:tcW w:w="6343" w:type="dxa"/>
            <w:vMerge/>
            <w:hideMark/>
          </w:tcPr>
          <w:p w14:paraId="6E6F5524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548DD4" w:themeColor="text2" w:themeTint="99"/>
            </w:tcBorders>
            <w:noWrap/>
            <w:hideMark/>
          </w:tcPr>
          <w:p w14:paraId="402228FC" w14:textId="4C3111A1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SI</w:t>
            </w:r>
          </w:p>
        </w:tc>
        <w:tc>
          <w:tcPr>
            <w:tcW w:w="810" w:type="dxa"/>
            <w:tcBorders>
              <w:top w:val="single" w:sz="4" w:space="0" w:color="548DD4" w:themeColor="text2" w:themeTint="99"/>
            </w:tcBorders>
            <w:noWrap/>
            <w:hideMark/>
          </w:tcPr>
          <w:p w14:paraId="798B1C64" w14:textId="2F6436F0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NO</w:t>
            </w:r>
          </w:p>
        </w:tc>
      </w:tr>
      <w:tr w:rsidR="008F44EB" w:rsidRPr="00F22709" w14:paraId="44C0BB1E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18A5BE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6343" w:type="dxa"/>
            <w:hideMark/>
          </w:tcPr>
          <w:p w14:paraId="53F375F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al grupo de funcionarios del proceso?</w:t>
            </w:r>
          </w:p>
        </w:tc>
        <w:tc>
          <w:tcPr>
            <w:tcW w:w="873" w:type="dxa"/>
            <w:noWrap/>
            <w:hideMark/>
          </w:tcPr>
          <w:p w14:paraId="3E00890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3595894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62B8DE89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0D7429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2</w:t>
            </w:r>
          </w:p>
        </w:tc>
        <w:tc>
          <w:tcPr>
            <w:tcW w:w="6343" w:type="dxa"/>
            <w:hideMark/>
          </w:tcPr>
          <w:p w14:paraId="4D21984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el cumplimiento de metas y objetivos de la dependencia?</w:t>
            </w:r>
          </w:p>
        </w:tc>
        <w:tc>
          <w:tcPr>
            <w:tcW w:w="873" w:type="dxa"/>
            <w:noWrap/>
            <w:hideMark/>
          </w:tcPr>
          <w:p w14:paraId="1CDADED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3A2AC4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27757729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93E226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3</w:t>
            </w:r>
          </w:p>
        </w:tc>
        <w:tc>
          <w:tcPr>
            <w:tcW w:w="6343" w:type="dxa"/>
            <w:hideMark/>
          </w:tcPr>
          <w:p w14:paraId="0FBBCF0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el cumplimiento de misión de la entidad?</w:t>
            </w:r>
          </w:p>
        </w:tc>
        <w:tc>
          <w:tcPr>
            <w:tcW w:w="873" w:type="dxa"/>
            <w:noWrap/>
            <w:hideMark/>
          </w:tcPr>
          <w:p w14:paraId="3302C73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CA16A3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50009E0B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06920E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4</w:t>
            </w:r>
          </w:p>
        </w:tc>
        <w:tc>
          <w:tcPr>
            <w:tcW w:w="6343" w:type="dxa"/>
            <w:hideMark/>
          </w:tcPr>
          <w:p w14:paraId="3C213DC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el cumplimiento de la misión del sector al que pertenece la entidad?</w:t>
            </w:r>
          </w:p>
        </w:tc>
        <w:tc>
          <w:tcPr>
            <w:tcW w:w="873" w:type="dxa"/>
            <w:noWrap/>
            <w:hideMark/>
          </w:tcPr>
          <w:p w14:paraId="624BC3A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F9E8929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2A9C41E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2BBF605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lastRenderedPageBreak/>
              <w:t>5</w:t>
            </w:r>
          </w:p>
        </w:tc>
        <w:tc>
          <w:tcPr>
            <w:tcW w:w="6343" w:type="dxa"/>
            <w:hideMark/>
          </w:tcPr>
          <w:p w14:paraId="3FD9F87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confianza de la entidad, afectando su reputación?</w:t>
            </w:r>
          </w:p>
        </w:tc>
        <w:tc>
          <w:tcPr>
            <w:tcW w:w="873" w:type="dxa"/>
            <w:noWrap/>
            <w:hideMark/>
          </w:tcPr>
          <w:p w14:paraId="281E584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F2D9494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3AEC214A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5D557E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6</w:t>
            </w:r>
          </w:p>
        </w:tc>
        <w:tc>
          <w:tcPr>
            <w:tcW w:w="6343" w:type="dxa"/>
            <w:hideMark/>
          </w:tcPr>
          <w:p w14:paraId="249A7B8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recursos económicos?</w:t>
            </w:r>
          </w:p>
        </w:tc>
        <w:tc>
          <w:tcPr>
            <w:tcW w:w="873" w:type="dxa"/>
            <w:noWrap/>
            <w:hideMark/>
          </w:tcPr>
          <w:p w14:paraId="5581105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35D3CA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5518931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FC5F93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7</w:t>
            </w:r>
          </w:p>
        </w:tc>
        <w:tc>
          <w:tcPr>
            <w:tcW w:w="6343" w:type="dxa"/>
            <w:hideMark/>
          </w:tcPr>
          <w:p w14:paraId="38F5701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la generación de los productos o la prestación de servicios?</w:t>
            </w:r>
          </w:p>
        </w:tc>
        <w:tc>
          <w:tcPr>
            <w:tcW w:w="873" w:type="dxa"/>
            <w:noWrap/>
            <w:hideMark/>
          </w:tcPr>
          <w:p w14:paraId="3ADA116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ADA573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7F974C0" w14:textId="77777777" w:rsidTr="008F44E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408E1F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6343" w:type="dxa"/>
            <w:hideMark/>
          </w:tcPr>
          <w:p w14:paraId="03D166F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al detrimento de calidad de vida de la comunidad por la pérdida del bien, servicios o recursos públicos?</w:t>
            </w:r>
          </w:p>
        </w:tc>
        <w:tc>
          <w:tcPr>
            <w:tcW w:w="873" w:type="dxa"/>
            <w:noWrap/>
            <w:hideMark/>
          </w:tcPr>
          <w:p w14:paraId="13671DD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5EFB4D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EA486EA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80098B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9</w:t>
            </w:r>
          </w:p>
        </w:tc>
        <w:tc>
          <w:tcPr>
            <w:tcW w:w="6343" w:type="dxa"/>
            <w:hideMark/>
          </w:tcPr>
          <w:p w14:paraId="19F0138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información de la entidad?</w:t>
            </w:r>
          </w:p>
        </w:tc>
        <w:tc>
          <w:tcPr>
            <w:tcW w:w="873" w:type="dxa"/>
            <w:noWrap/>
            <w:hideMark/>
          </w:tcPr>
          <w:p w14:paraId="2A28FFF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1F0D19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17C3E2B8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8D86D5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10</w:t>
            </w:r>
          </w:p>
        </w:tc>
        <w:tc>
          <w:tcPr>
            <w:tcW w:w="6343" w:type="dxa"/>
            <w:hideMark/>
          </w:tcPr>
          <w:p w14:paraId="01E690A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intervención de los órganos de control, de la Fiscalía u otro ente?</w:t>
            </w:r>
          </w:p>
        </w:tc>
        <w:tc>
          <w:tcPr>
            <w:tcW w:w="873" w:type="dxa"/>
            <w:noWrap/>
            <w:hideMark/>
          </w:tcPr>
          <w:p w14:paraId="0547EA14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32EBB67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46D21622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0DD5BD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11</w:t>
            </w:r>
          </w:p>
        </w:tc>
        <w:tc>
          <w:tcPr>
            <w:tcW w:w="6343" w:type="dxa"/>
            <w:hideMark/>
          </w:tcPr>
          <w:p w14:paraId="5719F32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sancionatorios?</w:t>
            </w:r>
          </w:p>
        </w:tc>
        <w:tc>
          <w:tcPr>
            <w:tcW w:w="873" w:type="dxa"/>
            <w:noWrap/>
            <w:hideMark/>
          </w:tcPr>
          <w:p w14:paraId="19921AC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51AF91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E5EDCE5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4A7F41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12</w:t>
            </w:r>
          </w:p>
        </w:tc>
        <w:tc>
          <w:tcPr>
            <w:tcW w:w="6343" w:type="dxa"/>
            <w:hideMark/>
          </w:tcPr>
          <w:p w14:paraId="3A4BD2C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disciplinarios?</w:t>
            </w:r>
          </w:p>
        </w:tc>
        <w:tc>
          <w:tcPr>
            <w:tcW w:w="873" w:type="dxa"/>
            <w:noWrap/>
            <w:hideMark/>
          </w:tcPr>
          <w:p w14:paraId="09E0D2A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0FE7F1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533C3D52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84CE58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13</w:t>
            </w:r>
          </w:p>
        </w:tc>
        <w:tc>
          <w:tcPr>
            <w:tcW w:w="6343" w:type="dxa"/>
            <w:hideMark/>
          </w:tcPr>
          <w:p w14:paraId="690D550F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fiscales</w:t>
            </w:r>
          </w:p>
        </w:tc>
        <w:tc>
          <w:tcPr>
            <w:tcW w:w="873" w:type="dxa"/>
            <w:noWrap/>
            <w:hideMark/>
          </w:tcPr>
          <w:p w14:paraId="3F85206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139D8B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63820C12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909666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14</w:t>
            </w:r>
          </w:p>
        </w:tc>
        <w:tc>
          <w:tcPr>
            <w:tcW w:w="6343" w:type="dxa"/>
            <w:hideMark/>
          </w:tcPr>
          <w:p w14:paraId="08AA61A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penales?</w:t>
            </w:r>
          </w:p>
        </w:tc>
        <w:tc>
          <w:tcPr>
            <w:tcW w:w="873" w:type="dxa"/>
            <w:noWrap/>
            <w:hideMark/>
          </w:tcPr>
          <w:p w14:paraId="0B71DEA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A78487F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292E1AD5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F1609E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15</w:t>
            </w:r>
          </w:p>
        </w:tc>
        <w:tc>
          <w:tcPr>
            <w:tcW w:w="6343" w:type="dxa"/>
            <w:hideMark/>
          </w:tcPr>
          <w:p w14:paraId="5B85891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credibilidad del sector?</w:t>
            </w:r>
          </w:p>
        </w:tc>
        <w:tc>
          <w:tcPr>
            <w:tcW w:w="873" w:type="dxa"/>
            <w:noWrap/>
            <w:hideMark/>
          </w:tcPr>
          <w:p w14:paraId="2CE98329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559982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87F6C8D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8C825F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16</w:t>
            </w:r>
          </w:p>
        </w:tc>
        <w:tc>
          <w:tcPr>
            <w:tcW w:w="6343" w:type="dxa"/>
            <w:hideMark/>
          </w:tcPr>
          <w:p w14:paraId="61660EC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¿Ocasiona lesiones físicas o pérdida de vidas humanas?</w:t>
            </w:r>
          </w:p>
        </w:tc>
        <w:tc>
          <w:tcPr>
            <w:tcW w:w="873" w:type="dxa"/>
            <w:noWrap/>
            <w:hideMark/>
          </w:tcPr>
          <w:p w14:paraId="23511CF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9D2010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4939AD0B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B74177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17</w:t>
            </w:r>
          </w:p>
        </w:tc>
        <w:tc>
          <w:tcPr>
            <w:tcW w:w="6343" w:type="dxa"/>
            <w:hideMark/>
          </w:tcPr>
          <w:p w14:paraId="4FB4290F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la imagen regional?</w:t>
            </w:r>
          </w:p>
        </w:tc>
        <w:tc>
          <w:tcPr>
            <w:tcW w:w="873" w:type="dxa"/>
            <w:noWrap/>
            <w:hideMark/>
          </w:tcPr>
          <w:p w14:paraId="4D980A9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CDA995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33EBA6DE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4B0644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18</w:t>
            </w:r>
          </w:p>
        </w:tc>
        <w:tc>
          <w:tcPr>
            <w:tcW w:w="6343" w:type="dxa"/>
            <w:hideMark/>
          </w:tcPr>
          <w:p w14:paraId="3E04A7A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la imagen nacional?</w:t>
            </w:r>
          </w:p>
        </w:tc>
        <w:tc>
          <w:tcPr>
            <w:tcW w:w="873" w:type="dxa"/>
            <w:noWrap/>
            <w:hideMark/>
          </w:tcPr>
          <w:p w14:paraId="539F942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C0416C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4F94CDD6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26D57C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19</w:t>
            </w:r>
          </w:p>
        </w:tc>
        <w:tc>
          <w:tcPr>
            <w:tcW w:w="6343" w:type="dxa"/>
            <w:hideMark/>
          </w:tcPr>
          <w:p w14:paraId="67CE6CC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daño ambiental?</w:t>
            </w:r>
          </w:p>
        </w:tc>
        <w:tc>
          <w:tcPr>
            <w:tcW w:w="873" w:type="dxa"/>
            <w:noWrap/>
            <w:hideMark/>
          </w:tcPr>
          <w:p w14:paraId="752FDA5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7D849D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</w:tbl>
    <w:p w14:paraId="511F323A" w14:textId="77777777" w:rsidR="008F44EB" w:rsidRPr="00F22709" w:rsidRDefault="008F44EB" w:rsidP="008F44EB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Fuente: Guía para la administración del riesgo y el diseño de controles en entidades públicas V6. DAFP </w:t>
      </w:r>
    </w:p>
    <w:p w14:paraId="485EAF7B" w14:textId="6D272B69" w:rsidR="008F44EB" w:rsidRDefault="008F44EB" w:rsidP="00B80DC5">
      <w:pPr>
        <w:rPr>
          <w:rFonts w:cs="Arial"/>
          <w:szCs w:val="24"/>
        </w:rPr>
      </w:pPr>
      <w:r w:rsidRPr="00F22709">
        <w:rPr>
          <w:rFonts w:cs="Arial"/>
          <w:szCs w:val="24"/>
        </w:rPr>
        <w:lastRenderedPageBreak/>
        <w:t>Conforme con la cantidad de respuesta afirmativas se establecerá el impacto de la siguiente manera:</w:t>
      </w:r>
    </w:p>
    <w:p w14:paraId="51A289AC" w14:textId="77777777" w:rsidR="00D771AC" w:rsidRPr="00F22709" w:rsidRDefault="00D771AC" w:rsidP="00B80DC5">
      <w:pPr>
        <w:rPr>
          <w:rFonts w:cs="Arial"/>
          <w:szCs w:val="24"/>
        </w:rPr>
      </w:pPr>
    </w:p>
    <w:tbl>
      <w:tblPr>
        <w:tblW w:w="8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2798"/>
      </w:tblGrid>
      <w:tr w:rsidR="008D08A8" w:rsidRPr="00F22709" w14:paraId="6FAD57E4" w14:textId="77777777" w:rsidTr="008D08A8">
        <w:trPr>
          <w:trHeight w:val="718"/>
        </w:trPr>
        <w:tc>
          <w:tcPr>
            <w:tcW w:w="577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11955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r w:rsidRPr="00F22709">
              <w:rPr>
                <w:rFonts w:cs="Arial"/>
                <w:b/>
                <w:bCs/>
                <w:szCs w:val="24"/>
              </w:rPr>
              <w:t>RESPUESTAS AFIRMATIVAS</w:t>
            </w:r>
          </w:p>
        </w:tc>
        <w:tc>
          <w:tcPr>
            <w:tcW w:w="2798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58D5F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r w:rsidRPr="00F22709">
              <w:rPr>
                <w:rFonts w:cs="Arial"/>
                <w:b/>
                <w:bCs/>
                <w:szCs w:val="24"/>
              </w:rPr>
              <w:t>IMPACTO</w:t>
            </w:r>
          </w:p>
        </w:tc>
      </w:tr>
      <w:tr w:rsidR="008D08A8" w:rsidRPr="00F22709" w14:paraId="01B7CF7A" w14:textId="77777777" w:rsidTr="008D08A8">
        <w:trPr>
          <w:trHeight w:val="718"/>
        </w:trPr>
        <w:tc>
          <w:tcPr>
            <w:tcW w:w="5770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11B29F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De una (1) a cinco (5) respuestas afirmativas</w:t>
            </w:r>
          </w:p>
        </w:tc>
        <w:tc>
          <w:tcPr>
            <w:tcW w:w="2798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FE7414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Impacto Moderado</w:t>
            </w:r>
          </w:p>
        </w:tc>
      </w:tr>
      <w:tr w:rsidR="008D08A8" w:rsidRPr="00F22709" w14:paraId="253890A3" w14:textId="77777777" w:rsidTr="008D08A8">
        <w:trPr>
          <w:trHeight w:val="726"/>
        </w:trPr>
        <w:tc>
          <w:tcPr>
            <w:tcW w:w="57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F353E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De seis (6) a once (11) respuestas afirmativas</w:t>
            </w:r>
          </w:p>
        </w:tc>
        <w:tc>
          <w:tcPr>
            <w:tcW w:w="279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CA4EAA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Impacto Mayor</w:t>
            </w:r>
          </w:p>
        </w:tc>
      </w:tr>
      <w:tr w:rsidR="008D08A8" w:rsidRPr="00F22709" w14:paraId="3CFE0347" w14:textId="77777777" w:rsidTr="008D08A8">
        <w:trPr>
          <w:trHeight w:val="984"/>
        </w:trPr>
        <w:tc>
          <w:tcPr>
            <w:tcW w:w="57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19359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De doce (12) a diecinueve (19) respuestas afirmativas</w:t>
            </w:r>
          </w:p>
        </w:tc>
        <w:tc>
          <w:tcPr>
            <w:tcW w:w="279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E7C28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Impacto Catastrófico</w:t>
            </w:r>
          </w:p>
        </w:tc>
      </w:tr>
    </w:tbl>
    <w:p w14:paraId="24205256" w14:textId="77777777" w:rsidR="00171B46" w:rsidRPr="00F22709" w:rsidRDefault="00171B46" w:rsidP="00171B46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Fuente: Guía para la administración del riesgo y el diseño de controles en entidades públicas V6. DAFP </w:t>
      </w:r>
    </w:p>
    <w:p w14:paraId="5FEDED5C" w14:textId="313FA5C5" w:rsidR="00203D99" w:rsidRDefault="00171B46" w:rsidP="00F50CEC">
      <w:pPr>
        <w:rPr>
          <w:rFonts w:cs="Arial"/>
          <w:szCs w:val="24"/>
          <w:lang w:val="es-ES"/>
        </w:rPr>
      </w:pPr>
      <w:r w:rsidRPr="00171B46">
        <w:rPr>
          <w:rFonts w:cs="Arial"/>
          <w:b/>
          <w:bCs/>
          <w:szCs w:val="24"/>
          <w:lang w:val="es-ES"/>
        </w:rPr>
        <w:t>Tratamiento de riesgos</w:t>
      </w:r>
      <w:r>
        <w:rPr>
          <w:rFonts w:cs="Arial"/>
          <w:szCs w:val="24"/>
          <w:lang w:val="es-ES"/>
        </w:rPr>
        <w:t>: p</w:t>
      </w:r>
      <w:r w:rsidR="002B5267" w:rsidRPr="00F22709">
        <w:rPr>
          <w:rFonts w:cs="Arial"/>
          <w:szCs w:val="24"/>
          <w:lang w:val="es-ES"/>
        </w:rPr>
        <w:t>ara el tratamiento de los riesgos</w:t>
      </w:r>
      <w:r w:rsidR="007E1C5B" w:rsidRPr="00F22709">
        <w:rPr>
          <w:rFonts w:cs="Arial"/>
          <w:szCs w:val="24"/>
          <w:lang w:val="es-ES"/>
        </w:rPr>
        <w:t xml:space="preserve"> hay que tener presente</w:t>
      </w:r>
      <w:r w:rsidR="008D08A8" w:rsidRPr="00F22709">
        <w:rPr>
          <w:rFonts w:cs="Arial"/>
          <w:szCs w:val="24"/>
          <w:lang w:val="es-ES"/>
        </w:rPr>
        <w:t xml:space="preserve"> la zona de riesgo residual, derivada del análisis del riesgo, </w:t>
      </w:r>
      <w:r w:rsidR="0045136A" w:rsidRPr="00F22709">
        <w:rPr>
          <w:rFonts w:cs="Arial"/>
          <w:szCs w:val="24"/>
          <w:lang w:val="es-ES"/>
        </w:rPr>
        <w:t xml:space="preserve">con lo cual </w:t>
      </w:r>
      <w:r w:rsidR="008D08A8" w:rsidRPr="00F22709">
        <w:rPr>
          <w:rFonts w:cs="Arial"/>
          <w:szCs w:val="24"/>
          <w:lang w:val="es-ES"/>
        </w:rPr>
        <w:t>se podrán emprender las siguientes opciones de tratamiento del riesgo:</w:t>
      </w:r>
      <w:bookmarkEnd w:id="1"/>
      <w:bookmarkEnd w:id="2"/>
      <w:bookmarkEnd w:id="3"/>
    </w:p>
    <w:p w14:paraId="7E204866" w14:textId="692F8AD5" w:rsidR="00D127D1" w:rsidRPr="00F22709" w:rsidRDefault="00203D99" w:rsidP="00203D99">
      <w:pPr>
        <w:pStyle w:val="Descripcin"/>
        <w:rPr>
          <w:rFonts w:cs="Arial"/>
          <w:b/>
          <w:bCs/>
          <w:color w:val="808080" w:themeColor="background1" w:themeShade="80"/>
          <w:sz w:val="24"/>
          <w:szCs w:val="24"/>
        </w:rPr>
      </w:pPr>
      <w:r w:rsidRPr="00F22709">
        <w:rPr>
          <w:rFonts w:cs="Arial"/>
          <w:sz w:val="24"/>
          <w:szCs w:val="24"/>
        </w:rPr>
        <w:t xml:space="preserve">Tabla </w:t>
      </w:r>
      <w:r w:rsidRPr="00F22709">
        <w:rPr>
          <w:rFonts w:cs="Arial"/>
          <w:sz w:val="24"/>
          <w:szCs w:val="24"/>
        </w:rPr>
        <w:fldChar w:fldCharType="begin"/>
      </w:r>
      <w:r w:rsidRPr="00F22709">
        <w:rPr>
          <w:rFonts w:cs="Arial"/>
          <w:sz w:val="24"/>
          <w:szCs w:val="24"/>
        </w:rPr>
        <w:instrText xml:space="preserve"> SEQ Tabla \* ARABIC </w:instrText>
      </w:r>
      <w:r w:rsidRPr="00F22709">
        <w:rPr>
          <w:rFonts w:cs="Arial"/>
          <w:sz w:val="24"/>
          <w:szCs w:val="24"/>
        </w:rPr>
        <w:fldChar w:fldCharType="separate"/>
      </w:r>
      <w:r w:rsidRPr="00F22709">
        <w:rPr>
          <w:rFonts w:cs="Arial"/>
          <w:noProof/>
          <w:sz w:val="24"/>
          <w:szCs w:val="24"/>
        </w:rPr>
        <w:t>3</w:t>
      </w:r>
      <w:r w:rsidRPr="00F22709">
        <w:rPr>
          <w:rFonts w:cs="Arial"/>
          <w:sz w:val="24"/>
          <w:szCs w:val="24"/>
        </w:rPr>
        <w:fldChar w:fldCharType="end"/>
      </w:r>
      <w:r w:rsidRPr="00F22709">
        <w:rPr>
          <w:rFonts w:cs="Arial"/>
          <w:sz w:val="24"/>
          <w:szCs w:val="24"/>
        </w:rPr>
        <w:t xml:space="preserve"> Opciones de Tratamiento del Riesgo.</w:t>
      </w:r>
      <w:r w:rsidR="00D127D1" w:rsidRPr="00F22709">
        <w:rPr>
          <w:rFonts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tbl>
      <w:tblPr>
        <w:tblW w:w="7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6330"/>
      </w:tblGrid>
      <w:tr w:rsidR="00203D99" w:rsidRPr="00F22709" w14:paraId="3767EC8F" w14:textId="77777777" w:rsidTr="00203D99">
        <w:trPr>
          <w:trHeight w:val="569"/>
        </w:trPr>
        <w:tc>
          <w:tcPr>
            <w:tcW w:w="127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CBE12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lastRenderedPageBreak/>
              <w:t>Aceptar</w:t>
            </w:r>
          </w:p>
        </w:tc>
        <w:tc>
          <w:tcPr>
            <w:tcW w:w="633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468DF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Después de hacer un análisis y considerar los niveles de riesgo se determinar asumir el mismo conociendo los efectos de su posible materialización.  </w:t>
            </w:r>
          </w:p>
        </w:tc>
      </w:tr>
      <w:tr w:rsidR="00203D99" w:rsidRPr="00F22709" w14:paraId="44214E26" w14:textId="77777777" w:rsidTr="00203D99">
        <w:trPr>
          <w:trHeight w:val="2793"/>
        </w:trPr>
        <w:tc>
          <w:tcPr>
            <w:tcW w:w="1270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AF09C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Reducir</w:t>
            </w:r>
          </w:p>
        </w:tc>
        <w:tc>
          <w:tcPr>
            <w:tcW w:w="6330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D4F29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 Después de realizar análisis y considerar que el nivel de riesgo es alto, se considera tratarlo mediante transferencia o mitigación de este:</w:t>
            </w:r>
          </w:p>
          <w:p w14:paraId="7772C476" w14:textId="77777777" w:rsidR="00203D99" w:rsidRPr="00F22709" w:rsidRDefault="00203D99" w:rsidP="00203D99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Transferir, es tercerizar el proceso o trasladar el riesgo a través de pólizas o seguros. La responsabilidad económica recae sobre el tercero, pero no se transfiere la responsabilidad sobre el tema reputacional.</w:t>
            </w:r>
          </w:p>
          <w:p w14:paraId="08E7EAA4" w14:textId="77777777" w:rsidR="00203D99" w:rsidRPr="00F22709" w:rsidRDefault="00203D99" w:rsidP="00203D99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Mitigar, es implementar acciones para disminuir el nivel de riesgo luego de realizar un análisis y considerar los niveles de riesgo. </w:t>
            </w:r>
          </w:p>
        </w:tc>
      </w:tr>
      <w:tr w:rsidR="00203D99" w:rsidRPr="00F22709" w14:paraId="6AB5E6A9" w14:textId="77777777" w:rsidTr="00203D99">
        <w:trPr>
          <w:trHeight w:val="569"/>
        </w:trPr>
        <w:tc>
          <w:tcPr>
            <w:tcW w:w="12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FE6F7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Evitar</w:t>
            </w:r>
          </w:p>
        </w:tc>
        <w:tc>
          <w:tcPr>
            <w:tcW w:w="633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0C5F6E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Después de realizar un análisis y considerar que el nivel de riesgo es demasiado alto, se determina NO asumir la actividad que genera el riesgo. </w:t>
            </w:r>
          </w:p>
        </w:tc>
      </w:tr>
      <w:tr w:rsidR="00203D99" w:rsidRPr="00F22709" w14:paraId="2C37951E" w14:textId="77777777" w:rsidTr="00203D99">
        <w:trPr>
          <w:trHeight w:val="872"/>
        </w:trPr>
        <w:tc>
          <w:tcPr>
            <w:tcW w:w="12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5ECA38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Compartir</w:t>
            </w:r>
          </w:p>
        </w:tc>
        <w:tc>
          <w:tcPr>
            <w:tcW w:w="633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80A49A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Se reduce la probabilidad o el impacto del riesgo transfiriendo o compartiendo una parte de este. Los riesgos de corrupción se pueden compartir, pero no se </w:t>
            </w:r>
            <w:r w:rsidRPr="00F22709">
              <w:rPr>
                <w:rFonts w:cs="Arial"/>
                <w:szCs w:val="24"/>
              </w:rPr>
              <w:lastRenderedPageBreak/>
              <w:t>puede transferir su responsabilidad. Esta opción de manejo aplica exclusivamente para riesgos de corrupción.</w:t>
            </w:r>
          </w:p>
        </w:tc>
      </w:tr>
    </w:tbl>
    <w:p w14:paraId="0575E231" w14:textId="61FB0BF4" w:rsidR="00171B46" w:rsidRDefault="00171B46" w:rsidP="00F22709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Fuente: elaboración propia </w:t>
      </w:r>
    </w:p>
    <w:p w14:paraId="3BF94047" w14:textId="151CA1AB" w:rsidR="00F93E1B" w:rsidRDefault="00EB7672" w:rsidP="00F22709">
      <w:pPr>
        <w:rPr>
          <w:rFonts w:cs="Arial"/>
          <w:szCs w:val="24"/>
        </w:rPr>
      </w:pPr>
      <w:r>
        <w:rPr>
          <w:rFonts w:cs="Arial"/>
          <w:szCs w:val="24"/>
        </w:rPr>
        <w:t>Para el cumplimiento de la presente política se ejecutará la siguiente hoja de ruta</w:t>
      </w:r>
      <w:r w:rsidR="00D771AC">
        <w:rPr>
          <w:rFonts w:cs="Arial"/>
          <w:szCs w:val="24"/>
        </w:rPr>
        <w:t xml:space="preserve">, la cual se precisará en los lineamientos del Proceso Direccionamiento Estratégico y Gestión de Mejora: </w:t>
      </w:r>
    </w:p>
    <w:p w14:paraId="50AA8736" w14:textId="43510A64" w:rsidR="00F93E1B" w:rsidRPr="00F93E1B" w:rsidRDefault="00F93E1B" w:rsidP="00F93E1B">
      <w:pPr>
        <w:rPr>
          <w:rFonts w:cs="Arial"/>
          <w:szCs w:val="24"/>
        </w:rPr>
      </w:pPr>
      <w:r w:rsidRPr="00F93E1B">
        <w:rPr>
          <w:rFonts w:cs="Arial"/>
          <w:noProof/>
          <w:szCs w:val="24"/>
        </w:rPr>
        <w:drawing>
          <wp:inline distT="0" distB="0" distL="0" distR="0" wp14:anchorId="203948CC" wp14:editId="386902E8">
            <wp:extent cx="5252085" cy="2372360"/>
            <wp:effectExtent l="0" t="0" r="5715" b="8890"/>
            <wp:docPr id="1837477163" name="Imagen 2" descr="Imagen que representa la hoja de ruta para la ejecucion de la politic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77163" name="Imagen 2" descr="Imagen que representa la hoja de ruta para la ejecucion de la politica.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CE560" w14:textId="5A48B123" w:rsidR="00F93E1B" w:rsidRDefault="00094A61" w:rsidP="00F22709">
      <w:pPr>
        <w:rPr>
          <w:rFonts w:cs="Arial"/>
          <w:szCs w:val="24"/>
        </w:rPr>
      </w:pPr>
      <w:r>
        <w:rPr>
          <w:rFonts w:cs="Arial"/>
          <w:szCs w:val="24"/>
        </w:rPr>
        <w:t>Fuente: Elaboración propia</w:t>
      </w:r>
    </w:p>
    <w:p w14:paraId="13BDE672" w14:textId="07054B59" w:rsidR="00094A61" w:rsidRPr="00F22709" w:rsidRDefault="00094A61" w:rsidP="00F22709">
      <w:pPr>
        <w:rPr>
          <w:rFonts w:cs="Arial"/>
          <w:szCs w:val="24"/>
        </w:rPr>
      </w:pPr>
      <w:r w:rsidRPr="00D771AC">
        <w:rPr>
          <w:rFonts w:cs="Arial"/>
          <w:szCs w:val="24"/>
        </w:rPr>
        <w:t xml:space="preserve">El seguimiento a los riesgos </w:t>
      </w:r>
      <w:r w:rsidR="00D771AC" w:rsidRPr="00D771AC">
        <w:rPr>
          <w:rFonts w:cs="Arial"/>
          <w:szCs w:val="24"/>
        </w:rPr>
        <w:t xml:space="preserve">por parte de las líneas de defensa de la Superintendencia Nacional de Salud es una labor permanente, cuyo objetivo es verificar el cumplimiento efectivo de controles, con un enfoque de </w:t>
      </w:r>
      <w:r w:rsidR="00D771AC" w:rsidRPr="00D771AC">
        <w:rPr>
          <w:rFonts w:cs="Arial"/>
          <w:szCs w:val="24"/>
        </w:rPr>
        <w:lastRenderedPageBreak/>
        <w:t xml:space="preserve">prevención. Con base en este seguimiento, la entidad de manera trimestral desarrolla el monitoreo a la gestión de los riesgos, en donde se verifica por parte de las tres líneas de defensa, según los roles y responsabilidades asignadas a cada una de estas, </w:t>
      </w:r>
      <w:r w:rsidRPr="00D771AC">
        <w:rPr>
          <w:rFonts w:cs="Arial"/>
          <w:szCs w:val="24"/>
        </w:rPr>
        <w:t xml:space="preserve">la eficacia de controles, </w:t>
      </w:r>
      <w:r w:rsidR="00D771AC" w:rsidRPr="00D771AC">
        <w:rPr>
          <w:rFonts w:cs="Arial"/>
          <w:szCs w:val="24"/>
        </w:rPr>
        <w:t>el cumplimiento</w:t>
      </w:r>
      <w:r w:rsidRPr="00D771AC">
        <w:rPr>
          <w:rFonts w:cs="Arial"/>
          <w:szCs w:val="24"/>
        </w:rPr>
        <w:t xml:space="preserve"> de las acciones de tratamiento y </w:t>
      </w:r>
      <w:r w:rsidR="00D771AC" w:rsidRPr="00D771AC">
        <w:rPr>
          <w:rFonts w:cs="Arial"/>
          <w:szCs w:val="24"/>
        </w:rPr>
        <w:t xml:space="preserve">se revisa si se han </w:t>
      </w:r>
      <w:r w:rsidRPr="00D771AC">
        <w:rPr>
          <w:rFonts w:cs="Arial"/>
          <w:szCs w:val="24"/>
        </w:rPr>
        <w:t>materializa</w:t>
      </w:r>
      <w:r w:rsidR="00D771AC" w:rsidRPr="00D771AC">
        <w:rPr>
          <w:rFonts w:cs="Arial"/>
          <w:szCs w:val="24"/>
        </w:rPr>
        <w:t>do</w:t>
      </w:r>
      <w:r w:rsidRPr="00D771AC">
        <w:rPr>
          <w:rFonts w:cs="Arial"/>
          <w:szCs w:val="24"/>
        </w:rPr>
        <w:t xml:space="preserve"> riesgos</w:t>
      </w:r>
      <w:r w:rsidR="00D771AC" w:rsidRPr="00D771AC">
        <w:rPr>
          <w:rFonts w:cs="Arial"/>
          <w:szCs w:val="24"/>
        </w:rPr>
        <w:t xml:space="preserve"> en la entidad. Este monitoreo se realiza en el marco de la </w:t>
      </w:r>
      <w:r w:rsidRPr="00D771AC">
        <w:rPr>
          <w:rFonts w:cs="Arial"/>
          <w:szCs w:val="24"/>
        </w:rPr>
        <w:t>autoevaluación de enero, abril, julio y octubre de cada vigencia</w:t>
      </w:r>
      <w:r w:rsidR="00D771AC">
        <w:rPr>
          <w:rFonts w:cs="Arial"/>
          <w:szCs w:val="24"/>
        </w:rPr>
        <w:t xml:space="preserve">. </w:t>
      </w:r>
    </w:p>
    <w:p w14:paraId="3F0E7695" w14:textId="7092B51A" w:rsidR="00B46D30" w:rsidRDefault="00780E2A" w:rsidP="00B46D30">
      <w:pPr>
        <w:rPr>
          <w:rFonts w:cs="Arial"/>
          <w:szCs w:val="24"/>
        </w:rPr>
      </w:pPr>
      <w:r w:rsidRPr="00F22709">
        <w:rPr>
          <w:rFonts w:cs="Arial"/>
          <w:szCs w:val="24"/>
        </w:rPr>
        <w:t>Para establecer los niveles de autoridad y responsabilidad</w:t>
      </w:r>
      <w:r w:rsidR="00CB0E78" w:rsidRPr="00F22709">
        <w:rPr>
          <w:rFonts w:cs="Arial"/>
          <w:szCs w:val="24"/>
        </w:rPr>
        <w:t>,</w:t>
      </w:r>
      <w:r w:rsidR="005E326E" w:rsidRPr="00F22709">
        <w:rPr>
          <w:rFonts w:cs="Arial"/>
          <w:szCs w:val="24"/>
        </w:rPr>
        <w:t xml:space="preserve"> </w:t>
      </w:r>
      <w:r w:rsidR="00CB0E78" w:rsidRPr="00F22709">
        <w:rPr>
          <w:rFonts w:cs="Arial"/>
          <w:szCs w:val="24"/>
        </w:rPr>
        <w:t>y llegar a</w:t>
      </w:r>
      <w:r w:rsidR="00203D99" w:rsidRPr="00F22709">
        <w:rPr>
          <w:rFonts w:cs="Arial"/>
          <w:szCs w:val="24"/>
        </w:rPr>
        <w:t xml:space="preserve"> fortalecer </w:t>
      </w:r>
      <w:r w:rsidR="00D56982" w:rsidRPr="00F22709">
        <w:rPr>
          <w:rFonts w:cs="Arial"/>
          <w:szCs w:val="24"/>
        </w:rPr>
        <w:t xml:space="preserve">la administración del riesgo </w:t>
      </w:r>
      <w:r w:rsidR="005964C5" w:rsidRPr="00F22709">
        <w:rPr>
          <w:rFonts w:cs="Arial"/>
          <w:szCs w:val="24"/>
        </w:rPr>
        <w:t xml:space="preserve">y el control </w:t>
      </w:r>
      <w:r w:rsidR="00D56982" w:rsidRPr="00F22709">
        <w:rPr>
          <w:rFonts w:cs="Arial"/>
          <w:szCs w:val="24"/>
        </w:rPr>
        <w:t xml:space="preserve">en la </w:t>
      </w:r>
      <w:r w:rsidR="00CB0E78" w:rsidRPr="00F22709">
        <w:rPr>
          <w:rFonts w:cs="Arial"/>
          <w:szCs w:val="24"/>
        </w:rPr>
        <w:t>E</w:t>
      </w:r>
      <w:r w:rsidR="00D56982" w:rsidRPr="00F22709">
        <w:rPr>
          <w:rFonts w:cs="Arial"/>
          <w:szCs w:val="24"/>
        </w:rPr>
        <w:t xml:space="preserve">ntidad se deben desarrollar </w:t>
      </w:r>
      <w:r w:rsidR="00203D99" w:rsidRPr="00F22709">
        <w:rPr>
          <w:rFonts w:cs="Arial"/>
          <w:szCs w:val="24"/>
        </w:rPr>
        <w:t>los principios rectores del Modelo Estándar de Control Interno</w:t>
      </w:r>
      <w:r w:rsidR="00FF586F">
        <w:rPr>
          <w:rFonts w:cs="Arial"/>
          <w:szCs w:val="24"/>
        </w:rPr>
        <w:t xml:space="preserve">. </w:t>
      </w:r>
    </w:p>
    <w:p w14:paraId="320AEA6B" w14:textId="4256FC86" w:rsidR="00203D99" w:rsidRPr="00F22709" w:rsidRDefault="00203D99" w:rsidP="00B46D30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Esta política será desarrollada a través del Manual de Administración del </w:t>
      </w:r>
      <w:r w:rsidR="00F22709" w:rsidRPr="00F22709">
        <w:rPr>
          <w:rFonts w:cs="Arial"/>
          <w:szCs w:val="24"/>
        </w:rPr>
        <w:t>Riesgo</w:t>
      </w:r>
      <w:r w:rsidRPr="00F22709">
        <w:rPr>
          <w:rFonts w:cs="Arial"/>
          <w:szCs w:val="24"/>
        </w:rPr>
        <w:t>.</w:t>
      </w:r>
    </w:p>
    <w:sectPr w:rsidR="00203D99" w:rsidRPr="00F22709" w:rsidSect="006741F0">
      <w:headerReference w:type="default" r:id="rId14"/>
      <w:footerReference w:type="default" r:id="rId15"/>
      <w:pgSz w:w="12240" w:h="15840"/>
      <w:pgMar w:top="1701" w:right="1701" w:bottom="1701" w:left="2268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8067" w14:textId="77777777" w:rsidR="00EA62F8" w:rsidRDefault="00EA62F8" w:rsidP="00CD6908">
      <w:pPr>
        <w:spacing w:after="0" w:line="240" w:lineRule="auto"/>
      </w:pPr>
      <w:r>
        <w:separator/>
      </w:r>
    </w:p>
  </w:endnote>
  <w:endnote w:type="continuationSeparator" w:id="0">
    <w:p w14:paraId="1ADCE60C" w14:textId="77777777" w:rsidR="00EA62F8" w:rsidRDefault="00EA62F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77777777" w:rsidR="002A6CDC" w:rsidRDefault="002A6CDC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77777777" w:rsidR="002A6CDC" w:rsidRDefault="002A6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E358" w14:textId="77777777" w:rsidR="00EA62F8" w:rsidRDefault="00EA62F8" w:rsidP="00CD6908">
      <w:pPr>
        <w:spacing w:after="0" w:line="240" w:lineRule="auto"/>
      </w:pPr>
      <w:r>
        <w:separator/>
      </w:r>
    </w:p>
  </w:footnote>
  <w:footnote w:type="continuationSeparator" w:id="0">
    <w:p w14:paraId="350D0D22" w14:textId="77777777" w:rsidR="00EA62F8" w:rsidRDefault="00EA62F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134" w14:textId="1DCA4799" w:rsidR="002A6CDC" w:rsidRDefault="002A6CDC" w:rsidP="00352983">
    <w:pPr>
      <w:pStyle w:val="Encabezado"/>
      <w:ind w:left="-993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133"/>
      <w:gridCol w:w="4808"/>
      <w:gridCol w:w="1297"/>
      <w:gridCol w:w="1551"/>
    </w:tblGrid>
    <w:tr w:rsidR="00A758C0" w:rsidRPr="003622FD" w14:paraId="7EE14D48" w14:textId="77777777" w:rsidTr="00A758C0">
      <w:tc>
        <w:tcPr>
          <w:tcW w:w="213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D5F935C" w14:textId="2AD25CD5" w:rsidR="00A758C0" w:rsidRPr="003622FD" w:rsidRDefault="00F17511" w:rsidP="00E9242E">
          <w:pPr>
            <w:pStyle w:val="Encabezado"/>
            <w:rPr>
              <w:rFonts w:cs="Arial"/>
              <w:b/>
              <w:bCs/>
              <w:sz w:val="22"/>
            </w:rPr>
          </w:pPr>
          <w:bookmarkStart w:id="4" w:name="_Hlk132632420"/>
          <w:r w:rsidRPr="002E6EDE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634014F8" wp14:editId="6FFDAAD4">
                <wp:simplePos x="0" y="0"/>
                <wp:positionH relativeFrom="column">
                  <wp:posOffset>-46990</wp:posOffset>
                </wp:positionH>
                <wp:positionV relativeFrom="paragraph">
                  <wp:posOffset>56515</wp:posOffset>
                </wp:positionV>
                <wp:extent cx="1294846" cy="771525"/>
                <wp:effectExtent l="0" t="0" r="635" b="0"/>
                <wp:wrapNone/>
                <wp:docPr id="23" name="Imagen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294846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E924" w14:textId="075DDDB2" w:rsidR="00A758C0" w:rsidRPr="00366A01" w:rsidRDefault="00D77984" w:rsidP="006D2DBA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 xml:space="preserve">PROCESO </w:t>
          </w:r>
          <w:r w:rsidR="00ED19C5">
            <w:rPr>
              <w:rFonts w:cs="Arial"/>
              <w:b/>
              <w:bCs/>
              <w:szCs w:val="24"/>
            </w:rPr>
            <w:t xml:space="preserve">DIRECCIONAMIENTO ESTRATÉGICO 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2F90F72D" w14:textId="71AEB6DA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CÓDIGO</w:t>
          </w:r>
        </w:p>
      </w:tc>
      <w:tc>
        <w:tcPr>
          <w:tcW w:w="1551" w:type="dxa"/>
        </w:tcPr>
        <w:p w14:paraId="67673ECE" w14:textId="0D579172" w:rsidR="00A758C0" w:rsidRPr="00366A01" w:rsidRDefault="002C7BBF" w:rsidP="00F17511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DE</w:t>
          </w:r>
          <w:r w:rsidR="0004434A">
            <w:rPr>
              <w:rFonts w:cs="Arial"/>
              <w:bCs/>
              <w:szCs w:val="24"/>
            </w:rPr>
            <w:t>PI</w:t>
          </w:r>
          <w:r w:rsidR="00D77984">
            <w:rPr>
              <w:rFonts w:cs="Arial"/>
              <w:bCs/>
              <w:szCs w:val="24"/>
            </w:rPr>
            <w:t>01</w:t>
          </w:r>
        </w:p>
      </w:tc>
    </w:tr>
    <w:tr w:rsidR="00A758C0" w:rsidRPr="003622FD" w14:paraId="6DB14E1F" w14:textId="77777777" w:rsidTr="00A758C0">
      <w:tc>
        <w:tcPr>
          <w:tcW w:w="213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5ECB4E" w14:textId="1E9BD5E7" w:rsidR="00A758C0" w:rsidRPr="003622FD" w:rsidRDefault="00A758C0" w:rsidP="00E9242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AA2475" w14:textId="253D0537" w:rsidR="00A758C0" w:rsidRPr="00366A01" w:rsidRDefault="003A7C7D" w:rsidP="00E9242E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 w:rsidRPr="002C7BBF">
            <w:rPr>
              <w:rFonts w:cs="Arial"/>
              <w:b/>
              <w:bCs/>
              <w:szCs w:val="24"/>
            </w:rPr>
            <w:t>POLÍTICA PARA LA ADMINISTRACIÓN DEL RIESGO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11459464" w14:textId="4B3B58D1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VERSIÓN</w:t>
          </w:r>
        </w:p>
      </w:tc>
      <w:tc>
        <w:tcPr>
          <w:tcW w:w="1551" w:type="dxa"/>
        </w:tcPr>
        <w:p w14:paraId="355A8BC8" w14:textId="2F7CBE86" w:rsidR="00A758C0" w:rsidRPr="00366A01" w:rsidRDefault="00A758C0" w:rsidP="00F17511">
          <w:pPr>
            <w:pStyle w:val="Encabezado"/>
            <w:rPr>
              <w:rFonts w:cs="Arial"/>
              <w:bCs/>
              <w:szCs w:val="24"/>
            </w:rPr>
          </w:pPr>
          <w:r w:rsidRPr="00366A01">
            <w:rPr>
              <w:rFonts w:cs="Arial"/>
              <w:bCs/>
              <w:szCs w:val="24"/>
            </w:rPr>
            <w:t>1</w:t>
          </w:r>
        </w:p>
      </w:tc>
    </w:tr>
    <w:tr w:rsidR="00A758C0" w:rsidRPr="003622FD" w14:paraId="0F0238FF" w14:textId="77777777" w:rsidTr="00A758C0">
      <w:tc>
        <w:tcPr>
          <w:tcW w:w="213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0EECA1" w14:textId="77777777" w:rsidR="00A758C0" w:rsidRPr="003622FD" w:rsidRDefault="00A758C0" w:rsidP="00FE4903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8AF95" w14:textId="77777777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</w:p>
      </w:tc>
      <w:tc>
        <w:tcPr>
          <w:tcW w:w="1297" w:type="dxa"/>
          <w:tcBorders>
            <w:left w:val="single" w:sz="4" w:space="0" w:color="auto"/>
          </w:tcBorders>
        </w:tcPr>
        <w:p w14:paraId="0D94D1D5" w14:textId="14472F6F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FECHA</w:t>
          </w:r>
        </w:p>
      </w:tc>
      <w:tc>
        <w:tcPr>
          <w:tcW w:w="1551" w:type="dxa"/>
        </w:tcPr>
        <w:p w14:paraId="21427EAB" w14:textId="10673529" w:rsidR="00A758C0" w:rsidRPr="00366A01" w:rsidRDefault="00174FAF" w:rsidP="00F17511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15</w:t>
          </w:r>
          <w:r w:rsidR="00A758C0" w:rsidRPr="00366A01">
            <w:rPr>
              <w:rFonts w:cs="Arial"/>
              <w:bCs/>
              <w:szCs w:val="24"/>
            </w:rPr>
            <w:t>/</w:t>
          </w:r>
          <w:r>
            <w:rPr>
              <w:rFonts w:cs="Arial"/>
              <w:bCs/>
              <w:szCs w:val="24"/>
            </w:rPr>
            <w:t>01</w:t>
          </w:r>
          <w:r w:rsidR="00A758C0" w:rsidRPr="00366A01">
            <w:rPr>
              <w:rFonts w:cs="Arial"/>
              <w:bCs/>
              <w:szCs w:val="24"/>
            </w:rPr>
            <w:t>/</w:t>
          </w:r>
          <w:r>
            <w:rPr>
              <w:rFonts w:cs="Arial"/>
              <w:bCs/>
              <w:szCs w:val="24"/>
            </w:rPr>
            <w:t>2025</w:t>
          </w:r>
        </w:p>
      </w:tc>
    </w:tr>
    <w:bookmarkEnd w:id="4"/>
  </w:tbl>
  <w:p w14:paraId="12A9F66E" w14:textId="77777777" w:rsidR="002A6CDC" w:rsidRDefault="002A6CDC" w:rsidP="00352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889"/>
    <w:multiLevelType w:val="multilevel"/>
    <w:tmpl w:val="F36040EE"/>
    <w:lvl w:ilvl="0">
      <w:start w:val="3"/>
      <w:numFmt w:val="decimal"/>
      <w:lvlText w:val="%1"/>
      <w:lvlJc w:val="left"/>
      <w:pPr>
        <w:ind w:left="3248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9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3" w:hanging="2160"/>
      </w:pPr>
      <w:rPr>
        <w:rFonts w:hint="default"/>
      </w:rPr>
    </w:lvl>
  </w:abstractNum>
  <w:abstractNum w:abstractNumId="1" w15:restartNumberingAfterBreak="0">
    <w:nsid w:val="06F04AF5"/>
    <w:multiLevelType w:val="hybridMultilevel"/>
    <w:tmpl w:val="BEBE344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93C8A"/>
    <w:multiLevelType w:val="hybridMultilevel"/>
    <w:tmpl w:val="6770AD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6B0"/>
    <w:multiLevelType w:val="hybridMultilevel"/>
    <w:tmpl w:val="C34E4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7A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5" w15:restartNumberingAfterBreak="0">
    <w:nsid w:val="152C709F"/>
    <w:multiLevelType w:val="hybridMultilevel"/>
    <w:tmpl w:val="A45E1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73850"/>
    <w:multiLevelType w:val="multilevel"/>
    <w:tmpl w:val="39722BC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7" w15:restartNumberingAfterBreak="0">
    <w:nsid w:val="163C217D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E165FEC"/>
    <w:multiLevelType w:val="hybridMultilevel"/>
    <w:tmpl w:val="51046B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7E39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0" w15:restartNumberingAfterBreak="0">
    <w:nsid w:val="230658EA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1" w15:restartNumberingAfterBreak="0">
    <w:nsid w:val="2C7D63D3"/>
    <w:multiLevelType w:val="multilevel"/>
    <w:tmpl w:val="ADDE9E0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C70C66"/>
    <w:multiLevelType w:val="hybridMultilevel"/>
    <w:tmpl w:val="BE7411C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12066A"/>
    <w:multiLevelType w:val="multilevel"/>
    <w:tmpl w:val="73609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2610" w:hanging="432"/>
      </w:pPr>
    </w:lvl>
    <w:lvl w:ilvl="2">
      <w:start w:val="1"/>
      <w:numFmt w:val="decimal"/>
      <w:lvlText w:val="%1.%2.%3."/>
      <w:lvlJc w:val="left"/>
      <w:pPr>
        <w:ind w:left="-2178" w:hanging="504"/>
      </w:pPr>
    </w:lvl>
    <w:lvl w:ilvl="3">
      <w:start w:val="1"/>
      <w:numFmt w:val="decimal"/>
      <w:lvlText w:val="%1.%2.%3.%4."/>
      <w:lvlJc w:val="left"/>
      <w:pPr>
        <w:ind w:left="-1674" w:hanging="648"/>
      </w:pPr>
    </w:lvl>
    <w:lvl w:ilvl="4">
      <w:start w:val="1"/>
      <w:numFmt w:val="decimal"/>
      <w:lvlText w:val="%1.%2.%3.%4.%5."/>
      <w:lvlJc w:val="left"/>
      <w:pPr>
        <w:ind w:left="-1170" w:hanging="792"/>
      </w:pPr>
    </w:lvl>
    <w:lvl w:ilvl="5">
      <w:start w:val="1"/>
      <w:numFmt w:val="decimal"/>
      <w:lvlText w:val="%1.%2.%3.%4.%5.%6."/>
      <w:lvlJc w:val="left"/>
      <w:pPr>
        <w:ind w:left="-666" w:hanging="936"/>
      </w:pPr>
    </w:lvl>
    <w:lvl w:ilvl="6">
      <w:start w:val="1"/>
      <w:numFmt w:val="decimal"/>
      <w:lvlText w:val="%1.%2.%3.%4.%5.%6.%7."/>
      <w:lvlJc w:val="left"/>
      <w:pPr>
        <w:ind w:left="-162" w:hanging="1080"/>
      </w:pPr>
    </w:lvl>
    <w:lvl w:ilvl="7">
      <w:start w:val="1"/>
      <w:numFmt w:val="decimal"/>
      <w:lvlText w:val="%1.%2.%3.%4.%5.%6.%7.%8."/>
      <w:lvlJc w:val="left"/>
      <w:pPr>
        <w:ind w:left="342" w:hanging="1224"/>
      </w:pPr>
    </w:lvl>
    <w:lvl w:ilvl="8">
      <w:start w:val="1"/>
      <w:numFmt w:val="decimal"/>
      <w:lvlText w:val="%1.%2.%3.%4.%5.%6.%7.%8.%9."/>
      <w:lvlJc w:val="left"/>
      <w:pPr>
        <w:ind w:left="918" w:hanging="1440"/>
      </w:pPr>
    </w:lvl>
  </w:abstractNum>
  <w:abstractNum w:abstractNumId="14" w15:restartNumberingAfterBreak="0">
    <w:nsid w:val="331447B4"/>
    <w:multiLevelType w:val="hybridMultilevel"/>
    <w:tmpl w:val="26D04636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643F29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6" w15:restartNumberingAfterBreak="0">
    <w:nsid w:val="38222962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7" w15:restartNumberingAfterBreak="0">
    <w:nsid w:val="3E632405"/>
    <w:multiLevelType w:val="hybridMultilevel"/>
    <w:tmpl w:val="10887CD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D2B05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0D72E84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0" w15:restartNumberingAfterBreak="0">
    <w:nsid w:val="44732C2A"/>
    <w:multiLevelType w:val="multilevel"/>
    <w:tmpl w:val="19E48C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1" w15:restartNumberingAfterBreak="0">
    <w:nsid w:val="45AD527A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7584D95"/>
    <w:multiLevelType w:val="hybridMultilevel"/>
    <w:tmpl w:val="30C07FF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B6F7F"/>
    <w:multiLevelType w:val="hybridMultilevel"/>
    <w:tmpl w:val="3FECA0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E41AB"/>
    <w:multiLevelType w:val="hybridMultilevel"/>
    <w:tmpl w:val="1E26FD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C3422"/>
    <w:multiLevelType w:val="hybridMultilevel"/>
    <w:tmpl w:val="7292B0E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165C4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8" w15:restartNumberingAfterBreak="0">
    <w:nsid w:val="54B85AA7"/>
    <w:multiLevelType w:val="hybridMultilevel"/>
    <w:tmpl w:val="E618DCC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96A07"/>
    <w:multiLevelType w:val="hybridMultilevel"/>
    <w:tmpl w:val="CE564788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8114F1"/>
    <w:multiLevelType w:val="hybridMultilevel"/>
    <w:tmpl w:val="211A30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1243F"/>
    <w:multiLevelType w:val="hybridMultilevel"/>
    <w:tmpl w:val="873C8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17F0"/>
    <w:multiLevelType w:val="hybridMultilevel"/>
    <w:tmpl w:val="33769C0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252774"/>
    <w:multiLevelType w:val="hybridMultilevel"/>
    <w:tmpl w:val="854AEA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94E5F"/>
    <w:multiLevelType w:val="multilevel"/>
    <w:tmpl w:val="D3F85A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6DD673E9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6" w15:restartNumberingAfterBreak="0">
    <w:nsid w:val="6E20023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7" w15:restartNumberingAfterBreak="0">
    <w:nsid w:val="71035191"/>
    <w:multiLevelType w:val="hybridMultilevel"/>
    <w:tmpl w:val="7778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10BBB"/>
    <w:multiLevelType w:val="multilevel"/>
    <w:tmpl w:val="55ECBF30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9" w15:restartNumberingAfterBreak="0">
    <w:nsid w:val="763E7188"/>
    <w:multiLevelType w:val="multilevel"/>
    <w:tmpl w:val="89726F6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BC50E2"/>
    <w:multiLevelType w:val="multilevel"/>
    <w:tmpl w:val="46522E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w w:val="102"/>
      </w:rPr>
    </w:lvl>
  </w:abstractNum>
  <w:abstractNum w:abstractNumId="41" w15:restartNumberingAfterBreak="0">
    <w:nsid w:val="7B5550D2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7C10427B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43" w15:restartNumberingAfterBreak="0">
    <w:nsid w:val="7D42181F"/>
    <w:multiLevelType w:val="multilevel"/>
    <w:tmpl w:val="CDA253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AB6CD0"/>
    <w:multiLevelType w:val="hybridMultilevel"/>
    <w:tmpl w:val="54B05104"/>
    <w:lvl w:ilvl="0" w:tplc="9E98B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C3400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D0E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DEA2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F9A40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6B43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A5E9B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6808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0E6AD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23866178">
    <w:abstractNumId w:val="24"/>
  </w:num>
  <w:num w:numId="2" w16cid:durableId="2093236881">
    <w:abstractNumId w:val="27"/>
  </w:num>
  <w:num w:numId="3" w16cid:durableId="1259024089">
    <w:abstractNumId w:val="10"/>
  </w:num>
  <w:num w:numId="4" w16cid:durableId="2033997030">
    <w:abstractNumId w:val="35"/>
  </w:num>
  <w:num w:numId="5" w16cid:durableId="2127891996">
    <w:abstractNumId w:val="38"/>
  </w:num>
  <w:num w:numId="6" w16cid:durableId="1925455752">
    <w:abstractNumId w:val="36"/>
  </w:num>
  <w:num w:numId="7" w16cid:durableId="713892807">
    <w:abstractNumId w:val="19"/>
  </w:num>
  <w:num w:numId="8" w16cid:durableId="1041050331">
    <w:abstractNumId w:val="14"/>
  </w:num>
  <w:num w:numId="9" w16cid:durableId="23866601">
    <w:abstractNumId w:val="13"/>
  </w:num>
  <w:num w:numId="10" w16cid:durableId="1261568897">
    <w:abstractNumId w:val="43"/>
  </w:num>
  <w:num w:numId="11" w16cid:durableId="610355962">
    <w:abstractNumId w:val="39"/>
  </w:num>
  <w:num w:numId="12" w16cid:durableId="1776749170">
    <w:abstractNumId w:val="17"/>
  </w:num>
  <w:num w:numId="13" w16cid:durableId="1970697037">
    <w:abstractNumId w:val="11"/>
  </w:num>
  <w:num w:numId="14" w16cid:durableId="1988774686">
    <w:abstractNumId w:val="40"/>
  </w:num>
  <w:num w:numId="15" w16cid:durableId="229728614">
    <w:abstractNumId w:val="12"/>
  </w:num>
  <w:num w:numId="16" w16cid:durableId="211502675">
    <w:abstractNumId w:val="30"/>
  </w:num>
  <w:num w:numId="17" w16cid:durableId="1164934170">
    <w:abstractNumId w:val="1"/>
  </w:num>
  <w:num w:numId="18" w16cid:durableId="496843839">
    <w:abstractNumId w:val="5"/>
  </w:num>
  <w:num w:numId="19" w16cid:durableId="1209874346">
    <w:abstractNumId w:val="26"/>
  </w:num>
  <w:num w:numId="20" w16cid:durableId="610092540">
    <w:abstractNumId w:val="29"/>
  </w:num>
  <w:num w:numId="21" w16cid:durableId="919215238">
    <w:abstractNumId w:val="32"/>
  </w:num>
  <w:num w:numId="22" w16cid:durableId="1606498134">
    <w:abstractNumId w:val="22"/>
  </w:num>
  <w:num w:numId="23" w16cid:durableId="2010400401">
    <w:abstractNumId w:val="6"/>
  </w:num>
  <w:num w:numId="24" w16cid:durableId="694385221">
    <w:abstractNumId w:val="9"/>
  </w:num>
  <w:num w:numId="25" w16cid:durableId="702754400">
    <w:abstractNumId w:val="20"/>
  </w:num>
  <w:num w:numId="26" w16cid:durableId="773286930">
    <w:abstractNumId w:val="16"/>
  </w:num>
  <w:num w:numId="27" w16cid:durableId="932788677">
    <w:abstractNumId w:val="42"/>
  </w:num>
  <w:num w:numId="28" w16cid:durableId="1898204030">
    <w:abstractNumId w:val="15"/>
  </w:num>
  <w:num w:numId="29" w16cid:durableId="1361276724">
    <w:abstractNumId w:val="4"/>
  </w:num>
  <w:num w:numId="30" w16cid:durableId="93793044">
    <w:abstractNumId w:val="28"/>
  </w:num>
  <w:num w:numId="31" w16cid:durableId="1752389206">
    <w:abstractNumId w:val="34"/>
  </w:num>
  <w:num w:numId="32" w16cid:durableId="159737358">
    <w:abstractNumId w:val="7"/>
  </w:num>
  <w:num w:numId="33" w16cid:durableId="721683034">
    <w:abstractNumId w:val="41"/>
  </w:num>
  <w:num w:numId="34" w16cid:durableId="36047901">
    <w:abstractNumId w:val="21"/>
  </w:num>
  <w:num w:numId="35" w16cid:durableId="1097873283">
    <w:abstractNumId w:val="0"/>
  </w:num>
  <w:num w:numId="36" w16cid:durableId="2070692144">
    <w:abstractNumId w:val="18"/>
  </w:num>
  <w:num w:numId="37" w16cid:durableId="735323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4679512">
    <w:abstractNumId w:val="2"/>
  </w:num>
  <w:num w:numId="39" w16cid:durableId="2043944033">
    <w:abstractNumId w:val="3"/>
  </w:num>
  <w:num w:numId="40" w16cid:durableId="1870797093">
    <w:abstractNumId w:val="37"/>
  </w:num>
  <w:num w:numId="41" w16cid:durableId="1480608012">
    <w:abstractNumId w:val="44"/>
  </w:num>
  <w:num w:numId="42" w16cid:durableId="719285394">
    <w:abstractNumId w:val="31"/>
  </w:num>
  <w:num w:numId="43" w16cid:durableId="1566255858">
    <w:abstractNumId w:val="23"/>
  </w:num>
  <w:num w:numId="44" w16cid:durableId="841898375">
    <w:abstractNumId w:val="33"/>
  </w:num>
  <w:num w:numId="45" w16cid:durableId="1382441964">
    <w:abstractNumId w:val="8"/>
  </w:num>
  <w:num w:numId="46" w16cid:durableId="130747046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1B8"/>
    <w:rsid w:val="00001029"/>
    <w:rsid w:val="00001940"/>
    <w:rsid w:val="00010F50"/>
    <w:rsid w:val="00011184"/>
    <w:rsid w:val="00011533"/>
    <w:rsid w:val="00011ECB"/>
    <w:rsid w:val="00021B72"/>
    <w:rsid w:val="00024807"/>
    <w:rsid w:val="00027284"/>
    <w:rsid w:val="00027B8F"/>
    <w:rsid w:val="000300BE"/>
    <w:rsid w:val="000332A7"/>
    <w:rsid w:val="000347AC"/>
    <w:rsid w:val="00036678"/>
    <w:rsid w:val="000374E3"/>
    <w:rsid w:val="00037C0B"/>
    <w:rsid w:val="0004415D"/>
    <w:rsid w:val="0004434A"/>
    <w:rsid w:val="00046BA2"/>
    <w:rsid w:val="00046ECF"/>
    <w:rsid w:val="000479CC"/>
    <w:rsid w:val="00047EE1"/>
    <w:rsid w:val="0005164E"/>
    <w:rsid w:val="00053231"/>
    <w:rsid w:val="0005452F"/>
    <w:rsid w:val="00060F08"/>
    <w:rsid w:val="00065A8C"/>
    <w:rsid w:val="00066BD9"/>
    <w:rsid w:val="00072D73"/>
    <w:rsid w:val="000762A7"/>
    <w:rsid w:val="00081E1A"/>
    <w:rsid w:val="00092700"/>
    <w:rsid w:val="000933D8"/>
    <w:rsid w:val="00094A61"/>
    <w:rsid w:val="00096ADF"/>
    <w:rsid w:val="00097118"/>
    <w:rsid w:val="000A07FE"/>
    <w:rsid w:val="000A286C"/>
    <w:rsid w:val="000A5116"/>
    <w:rsid w:val="000A52DA"/>
    <w:rsid w:val="000A72CA"/>
    <w:rsid w:val="000B2079"/>
    <w:rsid w:val="000B2F28"/>
    <w:rsid w:val="000B4D06"/>
    <w:rsid w:val="000B6D36"/>
    <w:rsid w:val="000B7A1E"/>
    <w:rsid w:val="000C2969"/>
    <w:rsid w:val="000C31C6"/>
    <w:rsid w:val="000C54CF"/>
    <w:rsid w:val="000C5BDC"/>
    <w:rsid w:val="000D39D1"/>
    <w:rsid w:val="000D3EB2"/>
    <w:rsid w:val="000D6238"/>
    <w:rsid w:val="000E0FA8"/>
    <w:rsid w:val="000E172C"/>
    <w:rsid w:val="000E5973"/>
    <w:rsid w:val="000E62E1"/>
    <w:rsid w:val="000F0206"/>
    <w:rsid w:val="000F176B"/>
    <w:rsid w:val="000F5DC1"/>
    <w:rsid w:val="00100ADD"/>
    <w:rsid w:val="001012E0"/>
    <w:rsid w:val="0010147E"/>
    <w:rsid w:val="00103B20"/>
    <w:rsid w:val="0010437B"/>
    <w:rsid w:val="001046BF"/>
    <w:rsid w:val="001048B6"/>
    <w:rsid w:val="00106D5C"/>
    <w:rsid w:val="00107DCE"/>
    <w:rsid w:val="00112917"/>
    <w:rsid w:val="00113846"/>
    <w:rsid w:val="00114F33"/>
    <w:rsid w:val="00115089"/>
    <w:rsid w:val="0011690D"/>
    <w:rsid w:val="00117E3B"/>
    <w:rsid w:val="00121AC3"/>
    <w:rsid w:val="00121C52"/>
    <w:rsid w:val="001229A1"/>
    <w:rsid w:val="001234A2"/>
    <w:rsid w:val="00125581"/>
    <w:rsid w:val="00131A2C"/>
    <w:rsid w:val="00132E17"/>
    <w:rsid w:val="0013414D"/>
    <w:rsid w:val="00135B4F"/>
    <w:rsid w:val="00140D2E"/>
    <w:rsid w:val="00140D72"/>
    <w:rsid w:val="0014345B"/>
    <w:rsid w:val="001440A1"/>
    <w:rsid w:val="001455CD"/>
    <w:rsid w:val="0014664D"/>
    <w:rsid w:val="001477F5"/>
    <w:rsid w:val="00150026"/>
    <w:rsid w:val="001504DC"/>
    <w:rsid w:val="00150AD5"/>
    <w:rsid w:val="00151CE7"/>
    <w:rsid w:val="00153B58"/>
    <w:rsid w:val="001547DE"/>
    <w:rsid w:val="001556C9"/>
    <w:rsid w:val="00156C5D"/>
    <w:rsid w:val="001601A3"/>
    <w:rsid w:val="00161418"/>
    <w:rsid w:val="00162B55"/>
    <w:rsid w:val="0016495F"/>
    <w:rsid w:val="00167F6E"/>
    <w:rsid w:val="00171B46"/>
    <w:rsid w:val="0017222E"/>
    <w:rsid w:val="00173435"/>
    <w:rsid w:val="00174FAF"/>
    <w:rsid w:val="00176332"/>
    <w:rsid w:val="001769F4"/>
    <w:rsid w:val="00176AAD"/>
    <w:rsid w:val="00182335"/>
    <w:rsid w:val="001834CE"/>
    <w:rsid w:val="001835F3"/>
    <w:rsid w:val="00183B3C"/>
    <w:rsid w:val="00185E36"/>
    <w:rsid w:val="00190031"/>
    <w:rsid w:val="00190B3C"/>
    <w:rsid w:val="0019368C"/>
    <w:rsid w:val="001951AD"/>
    <w:rsid w:val="00195CDA"/>
    <w:rsid w:val="00195D0A"/>
    <w:rsid w:val="0019699D"/>
    <w:rsid w:val="001A39F1"/>
    <w:rsid w:val="001A6C48"/>
    <w:rsid w:val="001A6D4F"/>
    <w:rsid w:val="001A78CD"/>
    <w:rsid w:val="001B0CF9"/>
    <w:rsid w:val="001B4D1B"/>
    <w:rsid w:val="001B5E54"/>
    <w:rsid w:val="001B6187"/>
    <w:rsid w:val="001B6515"/>
    <w:rsid w:val="001B6733"/>
    <w:rsid w:val="001C5D4C"/>
    <w:rsid w:val="001C67E9"/>
    <w:rsid w:val="001C6990"/>
    <w:rsid w:val="001C6AD0"/>
    <w:rsid w:val="001C7C5F"/>
    <w:rsid w:val="001C7F67"/>
    <w:rsid w:val="001D1181"/>
    <w:rsid w:val="001D2DC4"/>
    <w:rsid w:val="001D32AE"/>
    <w:rsid w:val="001D33DD"/>
    <w:rsid w:val="001D3B0E"/>
    <w:rsid w:val="001D587C"/>
    <w:rsid w:val="001E00E0"/>
    <w:rsid w:val="001E1D35"/>
    <w:rsid w:val="001E1E6D"/>
    <w:rsid w:val="001E5AFE"/>
    <w:rsid w:val="001E5C8A"/>
    <w:rsid w:val="001E6A54"/>
    <w:rsid w:val="001E6AC7"/>
    <w:rsid w:val="001F106A"/>
    <w:rsid w:val="001F2085"/>
    <w:rsid w:val="001F3836"/>
    <w:rsid w:val="001F4B9E"/>
    <w:rsid w:val="001F5864"/>
    <w:rsid w:val="001F7F34"/>
    <w:rsid w:val="002006B9"/>
    <w:rsid w:val="00202DA8"/>
    <w:rsid w:val="0020377D"/>
    <w:rsid w:val="00203D99"/>
    <w:rsid w:val="00204CB3"/>
    <w:rsid w:val="002127C3"/>
    <w:rsid w:val="00214C7F"/>
    <w:rsid w:val="002204F3"/>
    <w:rsid w:val="002212FF"/>
    <w:rsid w:val="00224342"/>
    <w:rsid w:val="00225B3C"/>
    <w:rsid w:val="00227B83"/>
    <w:rsid w:val="00231021"/>
    <w:rsid w:val="0023152C"/>
    <w:rsid w:val="00237626"/>
    <w:rsid w:val="00237BDD"/>
    <w:rsid w:val="00242036"/>
    <w:rsid w:val="00242671"/>
    <w:rsid w:val="00242C2C"/>
    <w:rsid w:val="002452D8"/>
    <w:rsid w:val="002472B2"/>
    <w:rsid w:val="002474A5"/>
    <w:rsid w:val="00250E27"/>
    <w:rsid w:val="00251BC8"/>
    <w:rsid w:val="00251BD2"/>
    <w:rsid w:val="00252007"/>
    <w:rsid w:val="002526BD"/>
    <w:rsid w:val="0025525D"/>
    <w:rsid w:val="00260A5E"/>
    <w:rsid w:val="00260B8A"/>
    <w:rsid w:val="00261C1C"/>
    <w:rsid w:val="002623EB"/>
    <w:rsid w:val="00263638"/>
    <w:rsid w:val="00266F18"/>
    <w:rsid w:val="00270B3D"/>
    <w:rsid w:val="002717F5"/>
    <w:rsid w:val="00272033"/>
    <w:rsid w:val="00273F1E"/>
    <w:rsid w:val="00274AE0"/>
    <w:rsid w:val="00277E06"/>
    <w:rsid w:val="00281F77"/>
    <w:rsid w:val="00282479"/>
    <w:rsid w:val="0028345B"/>
    <w:rsid w:val="00283EBC"/>
    <w:rsid w:val="00284CAB"/>
    <w:rsid w:val="0028637D"/>
    <w:rsid w:val="0028699D"/>
    <w:rsid w:val="002904C9"/>
    <w:rsid w:val="00291106"/>
    <w:rsid w:val="00292CE5"/>
    <w:rsid w:val="00293AB9"/>
    <w:rsid w:val="0029437D"/>
    <w:rsid w:val="00296593"/>
    <w:rsid w:val="002967AB"/>
    <w:rsid w:val="00297A36"/>
    <w:rsid w:val="002A04AE"/>
    <w:rsid w:val="002A04BB"/>
    <w:rsid w:val="002A237D"/>
    <w:rsid w:val="002A2667"/>
    <w:rsid w:val="002A2EDB"/>
    <w:rsid w:val="002A3665"/>
    <w:rsid w:val="002A58A5"/>
    <w:rsid w:val="002A6CDC"/>
    <w:rsid w:val="002B0724"/>
    <w:rsid w:val="002B1699"/>
    <w:rsid w:val="002B45EC"/>
    <w:rsid w:val="002B5267"/>
    <w:rsid w:val="002B5EAB"/>
    <w:rsid w:val="002B6C32"/>
    <w:rsid w:val="002C002E"/>
    <w:rsid w:val="002C1478"/>
    <w:rsid w:val="002C2259"/>
    <w:rsid w:val="002C4B01"/>
    <w:rsid w:val="002C4E44"/>
    <w:rsid w:val="002C6F25"/>
    <w:rsid w:val="002C7BBF"/>
    <w:rsid w:val="002D072E"/>
    <w:rsid w:val="002D1E87"/>
    <w:rsid w:val="002D2520"/>
    <w:rsid w:val="002D2BAB"/>
    <w:rsid w:val="002D460E"/>
    <w:rsid w:val="002D7F94"/>
    <w:rsid w:val="002E0AF6"/>
    <w:rsid w:val="002E2EC4"/>
    <w:rsid w:val="002E3058"/>
    <w:rsid w:val="002E33D9"/>
    <w:rsid w:val="002E40E0"/>
    <w:rsid w:val="002E6E29"/>
    <w:rsid w:val="002E72AA"/>
    <w:rsid w:val="002F094F"/>
    <w:rsid w:val="002F32CE"/>
    <w:rsid w:val="002F5CC1"/>
    <w:rsid w:val="002F7E81"/>
    <w:rsid w:val="00301702"/>
    <w:rsid w:val="003034F6"/>
    <w:rsid w:val="003035BA"/>
    <w:rsid w:val="00306A09"/>
    <w:rsid w:val="003072AE"/>
    <w:rsid w:val="00310F35"/>
    <w:rsid w:val="00313E97"/>
    <w:rsid w:val="0031468F"/>
    <w:rsid w:val="00314D8C"/>
    <w:rsid w:val="00316A21"/>
    <w:rsid w:val="003207D9"/>
    <w:rsid w:val="00323671"/>
    <w:rsid w:val="00324B32"/>
    <w:rsid w:val="003250A2"/>
    <w:rsid w:val="0032621A"/>
    <w:rsid w:val="003316A4"/>
    <w:rsid w:val="00332DCF"/>
    <w:rsid w:val="00342512"/>
    <w:rsid w:val="00344CE0"/>
    <w:rsid w:val="00345CAB"/>
    <w:rsid w:val="00345F81"/>
    <w:rsid w:val="00351942"/>
    <w:rsid w:val="00352983"/>
    <w:rsid w:val="00353E9C"/>
    <w:rsid w:val="00357C0F"/>
    <w:rsid w:val="00360066"/>
    <w:rsid w:val="00363103"/>
    <w:rsid w:val="00365A25"/>
    <w:rsid w:val="00366A01"/>
    <w:rsid w:val="00370FD8"/>
    <w:rsid w:val="00371DD3"/>
    <w:rsid w:val="00373984"/>
    <w:rsid w:val="003741CC"/>
    <w:rsid w:val="003763AD"/>
    <w:rsid w:val="003772CB"/>
    <w:rsid w:val="00377BA8"/>
    <w:rsid w:val="0038055E"/>
    <w:rsid w:val="003836D7"/>
    <w:rsid w:val="00385850"/>
    <w:rsid w:val="00385ED6"/>
    <w:rsid w:val="00386BD8"/>
    <w:rsid w:val="00390D21"/>
    <w:rsid w:val="00391572"/>
    <w:rsid w:val="00391573"/>
    <w:rsid w:val="00392452"/>
    <w:rsid w:val="00392BF8"/>
    <w:rsid w:val="0039389B"/>
    <w:rsid w:val="00394CE6"/>
    <w:rsid w:val="00396951"/>
    <w:rsid w:val="00397FC4"/>
    <w:rsid w:val="003A2969"/>
    <w:rsid w:val="003A2C54"/>
    <w:rsid w:val="003A4A54"/>
    <w:rsid w:val="003A621E"/>
    <w:rsid w:val="003A7C7D"/>
    <w:rsid w:val="003B208C"/>
    <w:rsid w:val="003B28D1"/>
    <w:rsid w:val="003B2BB8"/>
    <w:rsid w:val="003B2D7A"/>
    <w:rsid w:val="003C0BC1"/>
    <w:rsid w:val="003C15DC"/>
    <w:rsid w:val="003C46FF"/>
    <w:rsid w:val="003C5DB5"/>
    <w:rsid w:val="003D0A2E"/>
    <w:rsid w:val="003D0A3C"/>
    <w:rsid w:val="003D1DA9"/>
    <w:rsid w:val="003D2669"/>
    <w:rsid w:val="003D3053"/>
    <w:rsid w:val="003D4015"/>
    <w:rsid w:val="003D5295"/>
    <w:rsid w:val="003D666D"/>
    <w:rsid w:val="003D6E19"/>
    <w:rsid w:val="003E06E7"/>
    <w:rsid w:val="003E161C"/>
    <w:rsid w:val="003E4FD7"/>
    <w:rsid w:val="003E56F9"/>
    <w:rsid w:val="003E5860"/>
    <w:rsid w:val="003F2F39"/>
    <w:rsid w:val="003F32E7"/>
    <w:rsid w:val="003F5145"/>
    <w:rsid w:val="003F5D79"/>
    <w:rsid w:val="003F653C"/>
    <w:rsid w:val="003F76C8"/>
    <w:rsid w:val="00404EC2"/>
    <w:rsid w:val="00405C64"/>
    <w:rsid w:val="00405EC7"/>
    <w:rsid w:val="004066F6"/>
    <w:rsid w:val="004074ED"/>
    <w:rsid w:val="00410FEE"/>
    <w:rsid w:val="00413A3C"/>
    <w:rsid w:val="00415D1D"/>
    <w:rsid w:val="00416A29"/>
    <w:rsid w:val="004178CD"/>
    <w:rsid w:val="00417BA8"/>
    <w:rsid w:val="00420E3B"/>
    <w:rsid w:val="0042125A"/>
    <w:rsid w:val="004251C5"/>
    <w:rsid w:val="00426B57"/>
    <w:rsid w:val="0043041D"/>
    <w:rsid w:val="00430618"/>
    <w:rsid w:val="00432720"/>
    <w:rsid w:val="00432DA6"/>
    <w:rsid w:val="00433085"/>
    <w:rsid w:val="00436C74"/>
    <w:rsid w:val="00437A59"/>
    <w:rsid w:val="00440056"/>
    <w:rsid w:val="00441383"/>
    <w:rsid w:val="00441971"/>
    <w:rsid w:val="00441EB8"/>
    <w:rsid w:val="0044273F"/>
    <w:rsid w:val="00442769"/>
    <w:rsid w:val="00443479"/>
    <w:rsid w:val="00443860"/>
    <w:rsid w:val="00443D3D"/>
    <w:rsid w:val="00444382"/>
    <w:rsid w:val="00444E6D"/>
    <w:rsid w:val="0045136A"/>
    <w:rsid w:val="00451B78"/>
    <w:rsid w:val="00455106"/>
    <w:rsid w:val="00456633"/>
    <w:rsid w:val="00460C26"/>
    <w:rsid w:val="004626DA"/>
    <w:rsid w:val="00464376"/>
    <w:rsid w:val="00465D20"/>
    <w:rsid w:val="004707CC"/>
    <w:rsid w:val="00470EB1"/>
    <w:rsid w:val="00471B38"/>
    <w:rsid w:val="00472676"/>
    <w:rsid w:val="00474117"/>
    <w:rsid w:val="00481E30"/>
    <w:rsid w:val="00482242"/>
    <w:rsid w:val="00482A5E"/>
    <w:rsid w:val="00482B40"/>
    <w:rsid w:val="004878F1"/>
    <w:rsid w:val="00490CB6"/>
    <w:rsid w:val="0049123C"/>
    <w:rsid w:val="00493DF7"/>
    <w:rsid w:val="00496FD4"/>
    <w:rsid w:val="004A01CF"/>
    <w:rsid w:val="004A2824"/>
    <w:rsid w:val="004A289B"/>
    <w:rsid w:val="004A32DB"/>
    <w:rsid w:val="004A4843"/>
    <w:rsid w:val="004A6772"/>
    <w:rsid w:val="004B17C8"/>
    <w:rsid w:val="004B5FD6"/>
    <w:rsid w:val="004B644F"/>
    <w:rsid w:val="004B6BB7"/>
    <w:rsid w:val="004B6D05"/>
    <w:rsid w:val="004B6ED8"/>
    <w:rsid w:val="004B6F71"/>
    <w:rsid w:val="004C000F"/>
    <w:rsid w:val="004C24D8"/>
    <w:rsid w:val="004C37CD"/>
    <w:rsid w:val="004C3DE2"/>
    <w:rsid w:val="004C6717"/>
    <w:rsid w:val="004D1D6E"/>
    <w:rsid w:val="004D2835"/>
    <w:rsid w:val="004D35D5"/>
    <w:rsid w:val="004E4CE7"/>
    <w:rsid w:val="004E552B"/>
    <w:rsid w:val="004F4FA6"/>
    <w:rsid w:val="004F686E"/>
    <w:rsid w:val="00501C8D"/>
    <w:rsid w:val="005027DC"/>
    <w:rsid w:val="00502B12"/>
    <w:rsid w:val="00505A43"/>
    <w:rsid w:val="00506401"/>
    <w:rsid w:val="005079BF"/>
    <w:rsid w:val="005169C8"/>
    <w:rsid w:val="00517BD3"/>
    <w:rsid w:val="005201C7"/>
    <w:rsid w:val="0052043C"/>
    <w:rsid w:val="00522EC6"/>
    <w:rsid w:val="005245DC"/>
    <w:rsid w:val="00524BF2"/>
    <w:rsid w:val="005256CF"/>
    <w:rsid w:val="00525EAD"/>
    <w:rsid w:val="00525EB3"/>
    <w:rsid w:val="00526DA5"/>
    <w:rsid w:val="00526DAA"/>
    <w:rsid w:val="00527BA7"/>
    <w:rsid w:val="00530806"/>
    <w:rsid w:val="00534CBA"/>
    <w:rsid w:val="00535378"/>
    <w:rsid w:val="005367F4"/>
    <w:rsid w:val="00546231"/>
    <w:rsid w:val="005471D0"/>
    <w:rsid w:val="005473F9"/>
    <w:rsid w:val="005509FF"/>
    <w:rsid w:val="00551C0A"/>
    <w:rsid w:val="00551EAF"/>
    <w:rsid w:val="005530BA"/>
    <w:rsid w:val="0055467A"/>
    <w:rsid w:val="0055704E"/>
    <w:rsid w:val="0056084C"/>
    <w:rsid w:val="0056190F"/>
    <w:rsid w:val="005619C5"/>
    <w:rsid w:val="005646F9"/>
    <w:rsid w:val="00571577"/>
    <w:rsid w:val="00571C1B"/>
    <w:rsid w:val="00571CEA"/>
    <w:rsid w:val="0057310A"/>
    <w:rsid w:val="005732B0"/>
    <w:rsid w:val="00580326"/>
    <w:rsid w:val="00580E54"/>
    <w:rsid w:val="00581038"/>
    <w:rsid w:val="00581581"/>
    <w:rsid w:val="00584136"/>
    <w:rsid w:val="00584C44"/>
    <w:rsid w:val="00584DE4"/>
    <w:rsid w:val="00584E77"/>
    <w:rsid w:val="00584F6B"/>
    <w:rsid w:val="00586711"/>
    <w:rsid w:val="00586A2C"/>
    <w:rsid w:val="005913EC"/>
    <w:rsid w:val="00591940"/>
    <w:rsid w:val="005923D4"/>
    <w:rsid w:val="00592D00"/>
    <w:rsid w:val="00595BF3"/>
    <w:rsid w:val="005964C5"/>
    <w:rsid w:val="00596891"/>
    <w:rsid w:val="00597610"/>
    <w:rsid w:val="00597B6F"/>
    <w:rsid w:val="005A0375"/>
    <w:rsid w:val="005A194C"/>
    <w:rsid w:val="005A1BC7"/>
    <w:rsid w:val="005A4E26"/>
    <w:rsid w:val="005A7ED8"/>
    <w:rsid w:val="005B0059"/>
    <w:rsid w:val="005B403D"/>
    <w:rsid w:val="005B461D"/>
    <w:rsid w:val="005B46E1"/>
    <w:rsid w:val="005B69AF"/>
    <w:rsid w:val="005C08AE"/>
    <w:rsid w:val="005C1760"/>
    <w:rsid w:val="005C1F29"/>
    <w:rsid w:val="005C38A9"/>
    <w:rsid w:val="005C4480"/>
    <w:rsid w:val="005C5B84"/>
    <w:rsid w:val="005C7171"/>
    <w:rsid w:val="005C7232"/>
    <w:rsid w:val="005C7A96"/>
    <w:rsid w:val="005D07E7"/>
    <w:rsid w:val="005D08C5"/>
    <w:rsid w:val="005D3B4F"/>
    <w:rsid w:val="005D6CEE"/>
    <w:rsid w:val="005E0149"/>
    <w:rsid w:val="005E0CC6"/>
    <w:rsid w:val="005E1E77"/>
    <w:rsid w:val="005E326E"/>
    <w:rsid w:val="005E38BA"/>
    <w:rsid w:val="005E4D0D"/>
    <w:rsid w:val="005E5248"/>
    <w:rsid w:val="005E5F46"/>
    <w:rsid w:val="005E7E66"/>
    <w:rsid w:val="005F1D7D"/>
    <w:rsid w:val="005F6094"/>
    <w:rsid w:val="00602A7F"/>
    <w:rsid w:val="00603939"/>
    <w:rsid w:val="006071BF"/>
    <w:rsid w:val="00611BCD"/>
    <w:rsid w:val="00614597"/>
    <w:rsid w:val="00617796"/>
    <w:rsid w:val="00620AF1"/>
    <w:rsid w:val="00631BBC"/>
    <w:rsid w:val="00632B7F"/>
    <w:rsid w:val="00632EE9"/>
    <w:rsid w:val="0063434B"/>
    <w:rsid w:val="0063519B"/>
    <w:rsid w:val="006362E8"/>
    <w:rsid w:val="00636982"/>
    <w:rsid w:val="00640532"/>
    <w:rsid w:val="00642763"/>
    <w:rsid w:val="006440B5"/>
    <w:rsid w:val="00644E41"/>
    <w:rsid w:val="0064619E"/>
    <w:rsid w:val="00647E7F"/>
    <w:rsid w:val="006501CC"/>
    <w:rsid w:val="0065022F"/>
    <w:rsid w:val="006516BF"/>
    <w:rsid w:val="006552F6"/>
    <w:rsid w:val="0065584B"/>
    <w:rsid w:val="006573AC"/>
    <w:rsid w:val="00657930"/>
    <w:rsid w:val="00662615"/>
    <w:rsid w:val="00662EF1"/>
    <w:rsid w:val="0066486C"/>
    <w:rsid w:val="00673E23"/>
    <w:rsid w:val="006741F0"/>
    <w:rsid w:val="006743F5"/>
    <w:rsid w:val="00677AEB"/>
    <w:rsid w:val="00681667"/>
    <w:rsid w:val="00684611"/>
    <w:rsid w:val="00686B9D"/>
    <w:rsid w:val="00687093"/>
    <w:rsid w:val="00690E76"/>
    <w:rsid w:val="00694BD4"/>
    <w:rsid w:val="00697925"/>
    <w:rsid w:val="00697E27"/>
    <w:rsid w:val="006A0F35"/>
    <w:rsid w:val="006A194F"/>
    <w:rsid w:val="006A3250"/>
    <w:rsid w:val="006A6B8B"/>
    <w:rsid w:val="006B0563"/>
    <w:rsid w:val="006B190B"/>
    <w:rsid w:val="006B1A06"/>
    <w:rsid w:val="006B1A7D"/>
    <w:rsid w:val="006B31B5"/>
    <w:rsid w:val="006B4074"/>
    <w:rsid w:val="006B43BF"/>
    <w:rsid w:val="006B4ED8"/>
    <w:rsid w:val="006B5BFB"/>
    <w:rsid w:val="006C00D0"/>
    <w:rsid w:val="006C04B2"/>
    <w:rsid w:val="006C2080"/>
    <w:rsid w:val="006C3EF2"/>
    <w:rsid w:val="006C459A"/>
    <w:rsid w:val="006D1129"/>
    <w:rsid w:val="006D17ED"/>
    <w:rsid w:val="006D2B31"/>
    <w:rsid w:val="006D2D4C"/>
    <w:rsid w:val="006D2DBA"/>
    <w:rsid w:val="006D2ED3"/>
    <w:rsid w:val="006D4680"/>
    <w:rsid w:val="006D56DC"/>
    <w:rsid w:val="006D58BA"/>
    <w:rsid w:val="006E0052"/>
    <w:rsid w:val="006E193C"/>
    <w:rsid w:val="006E20AE"/>
    <w:rsid w:val="006E21A3"/>
    <w:rsid w:val="006E2936"/>
    <w:rsid w:val="006E3C24"/>
    <w:rsid w:val="006E5853"/>
    <w:rsid w:val="006E7514"/>
    <w:rsid w:val="006F2DAB"/>
    <w:rsid w:val="006F44C0"/>
    <w:rsid w:val="006F51E5"/>
    <w:rsid w:val="006F547E"/>
    <w:rsid w:val="006F5752"/>
    <w:rsid w:val="006F6160"/>
    <w:rsid w:val="006F7A8D"/>
    <w:rsid w:val="00700E06"/>
    <w:rsid w:val="00703158"/>
    <w:rsid w:val="00703779"/>
    <w:rsid w:val="00703D8D"/>
    <w:rsid w:val="00706C80"/>
    <w:rsid w:val="00706D5E"/>
    <w:rsid w:val="007108CF"/>
    <w:rsid w:val="0071215D"/>
    <w:rsid w:val="007136E5"/>
    <w:rsid w:val="007139CC"/>
    <w:rsid w:val="00717F33"/>
    <w:rsid w:val="007204C2"/>
    <w:rsid w:val="00720D80"/>
    <w:rsid w:val="00720E3A"/>
    <w:rsid w:val="00721D10"/>
    <w:rsid w:val="00722506"/>
    <w:rsid w:val="00723108"/>
    <w:rsid w:val="0072711E"/>
    <w:rsid w:val="007279E2"/>
    <w:rsid w:val="007311B2"/>
    <w:rsid w:val="00734951"/>
    <w:rsid w:val="00735C0A"/>
    <w:rsid w:val="00735D60"/>
    <w:rsid w:val="0073618D"/>
    <w:rsid w:val="00740700"/>
    <w:rsid w:val="00740D4A"/>
    <w:rsid w:val="007416FD"/>
    <w:rsid w:val="00741C65"/>
    <w:rsid w:val="007465C3"/>
    <w:rsid w:val="00751201"/>
    <w:rsid w:val="00751312"/>
    <w:rsid w:val="00751ADE"/>
    <w:rsid w:val="00751E87"/>
    <w:rsid w:val="0075220E"/>
    <w:rsid w:val="00752C87"/>
    <w:rsid w:val="00754431"/>
    <w:rsid w:val="007562ED"/>
    <w:rsid w:val="00757F69"/>
    <w:rsid w:val="00762AD4"/>
    <w:rsid w:val="00763A26"/>
    <w:rsid w:val="00764557"/>
    <w:rsid w:val="00765E60"/>
    <w:rsid w:val="0076676E"/>
    <w:rsid w:val="007672C5"/>
    <w:rsid w:val="00767956"/>
    <w:rsid w:val="00771E47"/>
    <w:rsid w:val="00773BF3"/>
    <w:rsid w:val="0077490D"/>
    <w:rsid w:val="007758E4"/>
    <w:rsid w:val="00777490"/>
    <w:rsid w:val="007775C9"/>
    <w:rsid w:val="00780E2A"/>
    <w:rsid w:val="007841BE"/>
    <w:rsid w:val="00786660"/>
    <w:rsid w:val="00786734"/>
    <w:rsid w:val="00787453"/>
    <w:rsid w:val="0079292B"/>
    <w:rsid w:val="00794DB7"/>
    <w:rsid w:val="007954F6"/>
    <w:rsid w:val="00795756"/>
    <w:rsid w:val="007A07BC"/>
    <w:rsid w:val="007A2846"/>
    <w:rsid w:val="007A63B6"/>
    <w:rsid w:val="007A6D05"/>
    <w:rsid w:val="007B19E7"/>
    <w:rsid w:val="007B34EF"/>
    <w:rsid w:val="007B7CD2"/>
    <w:rsid w:val="007C15D8"/>
    <w:rsid w:val="007C2A62"/>
    <w:rsid w:val="007C2D77"/>
    <w:rsid w:val="007C4447"/>
    <w:rsid w:val="007C5F89"/>
    <w:rsid w:val="007C765A"/>
    <w:rsid w:val="007D483D"/>
    <w:rsid w:val="007E1031"/>
    <w:rsid w:val="007E1C5B"/>
    <w:rsid w:val="007E2ADD"/>
    <w:rsid w:val="007E6BB4"/>
    <w:rsid w:val="007E7630"/>
    <w:rsid w:val="007F0111"/>
    <w:rsid w:val="007F284D"/>
    <w:rsid w:val="007F6320"/>
    <w:rsid w:val="007F79C6"/>
    <w:rsid w:val="00800B4D"/>
    <w:rsid w:val="008022E0"/>
    <w:rsid w:val="00804C23"/>
    <w:rsid w:val="00805338"/>
    <w:rsid w:val="0080563E"/>
    <w:rsid w:val="00805ADF"/>
    <w:rsid w:val="00811680"/>
    <w:rsid w:val="00812813"/>
    <w:rsid w:val="00814AF3"/>
    <w:rsid w:val="00815B3B"/>
    <w:rsid w:val="008161C3"/>
    <w:rsid w:val="00816366"/>
    <w:rsid w:val="0081673C"/>
    <w:rsid w:val="0081742C"/>
    <w:rsid w:val="00820A0C"/>
    <w:rsid w:val="0082240A"/>
    <w:rsid w:val="008250B6"/>
    <w:rsid w:val="008273BE"/>
    <w:rsid w:val="0083257B"/>
    <w:rsid w:val="008352E9"/>
    <w:rsid w:val="00835678"/>
    <w:rsid w:val="00835960"/>
    <w:rsid w:val="00836679"/>
    <w:rsid w:val="008421F2"/>
    <w:rsid w:val="00846B60"/>
    <w:rsid w:val="00847A63"/>
    <w:rsid w:val="00850E7D"/>
    <w:rsid w:val="008531F5"/>
    <w:rsid w:val="008536C1"/>
    <w:rsid w:val="00853DE3"/>
    <w:rsid w:val="008543A9"/>
    <w:rsid w:val="008553C0"/>
    <w:rsid w:val="00856960"/>
    <w:rsid w:val="00861FBF"/>
    <w:rsid w:val="0086442E"/>
    <w:rsid w:val="00867046"/>
    <w:rsid w:val="0086721A"/>
    <w:rsid w:val="00867A83"/>
    <w:rsid w:val="00867C8C"/>
    <w:rsid w:val="008718D3"/>
    <w:rsid w:val="008719B3"/>
    <w:rsid w:val="00871B33"/>
    <w:rsid w:val="008733C2"/>
    <w:rsid w:val="00873AAF"/>
    <w:rsid w:val="008762B7"/>
    <w:rsid w:val="00881236"/>
    <w:rsid w:val="00881770"/>
    <w:rsid w:val="00886223"/>
    <w:rsid w:val="008863CF"/>
    <w:rsid w:val="008871EC"/>
    <w:rsid w:val="008969BF"/>
    <w:rsid w:val="00897745"/>
    <w:rsid w:val="008A3795"/>
    <w:rsid w:val="008A39B7"/>
    <w:rsid w:val="008A4406"/>
    <w:rsid w:val="008A47D2"/>
    <w:rsid w:val="008A47F1"/>
    <w:rsid w:val="008A480D"/>
    <w:rsid w:val="008A5C75"/>
    <w:rsid w:val="008A7278"/>
    <w:rsid w:val="008B3DE2"/>
    <w:rsid w:val="008B586A"/>
    <w:rsid w:val="008C33FE"/>
    <w:rsid w:val="008C4054"/>
    <w:rsid w:val="008C47E0"/>
    <w:rsid w:val="008C6B0E"/>
    <w:rsid w:val="008C70E5"/>
    <w:rsid w:val="008D08A8"/>
    <w:rsid w:val="008D46F9"/>
    <w:rsid w:val="008D6042"/>
    <w:rsid w:val="008D6956"/>
    <w:rsid w:val="008D756F"/>
    <w:rsid w:val="008E16AB"/>
    <w:rsid w:val="008E2065"/>
    <w:rsid w:val="008E560E"/>
    <w:rsid w:val="008E592A"/>
    <w:rsid w:val="008F03A7"/>
    <w:rsid w:val="008F331A"/>
    <w:rsid w:val="008F44EB"/>
    <w:rsid w:val="008F4D28"/>
    <w:rsid w:val="008F6937"/>
    <w:rsid w:val="008F6FA7"/>
    <w:rsid w:val="008F7E2B"/>
    <w:rsid w:val="009016C6"/>
    <w:rsid w:val="00902472"/>
    <w:rsid w:val="009039A6"/>
    <w:rsid w:val="00904912"/>
    <w:rsid w:val="00906E02"/>
    <w:rsid w:val="00907426"/>
    <w:rsid w:val="00911913"/>
    <w:rsid w:val="009122A9"/>
    <w:rsid w:val="00912941"/>
    <w:rsid w:val="009143E6"/>
    <w:rsid w:val="009145AF"/>
    <w:rsid w:val="00915807"/>
    <w:rsid w:val="009158E3"/>
    <w:rsid w:val="0091741A"/>
    <w:rsid w:val="009207D7"/>
    <w:rsid w:val="00921D6F"/>
    <w:rsid w:val="0092451F"/>
    <w:rsid w:val="009255DB"/>
    <w:rsid w:val="00925A7F"/>
    <w:rsid w:val="009263A7"/>
    <w:rsid w:val="00927777"/>
    <w:rsid w:val="00931D2D"/>
    <w:rsid w:val="009330B0"/>
    <w:rsid w:val="0093354B"/>
    <w:rsid w:val="00934CF4"/>
    <w:rsid w:val="00937972"/>
    <w:rsid w:val="00941069"/>
    <w:rsid w:val="009421E5"/>
    <w:rsid w:val="009434F1"/>
    <w:rsid w:val="00943CA0"/>
    <w:rsid w:val="0095096A"/>
    <w:rsid w:val="0095117C"/>
    <w:rsid w:val="00951D5F"/>
    <w:rsid w:val="009522F4"/>
    <w:rsid w:val="00954BCA"/>
    <w:rsid w:val="00955695"/>
    <w:rsid w:val="00955E9A"/>
    <w:rsid w:val="009561C4"/>
    <w:rsid w:val="00957CEC"/>
    <w:rsid w:val="009608FD"/>
    <w:rsid w:val="009609D9"/>
    <w:rsid w:val="0097370B"/>
    <w:rsid w:val="009744B7"/>
    <w:rsid w:val="0097772A"/>
    <w:rsid w:val="0098018A"/>
    <w:rsid w:val="0098022F"/>
    <w:rsid w:val="00983621"/>
    <w:rsid w:val="00985169"/>
    <w:rsid w:val="009875F7"/>
    <w:rsid w:val="00993D75"/>
    <w:rsid w:val="00994310"/>
    <w:rsid w:val="00994FFC"/>
    <w:rsid w:val="0099747B"/>
    <w:rsid w:val="009A0A04"/>
    <w:rsid w:val="009A10BA"/>
    <w:rsid w:val="009A1DB5"/>
    <w:rsid w:val="009A354E"/>
    <w:rsid w:val="009A7AF5"/>
    <w:rsid w:val="009B0102"/>
    <w:rsid w:val="009B0AA6"/>
    <w:rsid w:val="009B0DAF"/>
    <w:rsid w:val="009B324B"/>
    <w:rsid w:val="009B79DA"/>
    <w:rsid w:val="009B7EAF"/>
    <w:rsid w:val="009C1ED9"/>
    <w:rsid w:val="009C54B8"/>
    <w:rsid w:val="009D315B"/>
    <w:rsid w:val="009D4844"/>
    <w:rsid w:val="009D4C24"/>
    <w:rsid w:val="009D561B"/>
    <w:rsid w:val="009E2A8D"/>
    <w:rsid w:val="009E3C87"/>
    <w:rsid w:val="009E5470"/>
    <w:rsid w:val="009E6782"/>
    <w:rsid w:val="009E6ED6"/>
    <w:rsid w:val="009E7226"/>
    <w:rsid w:val="009F0B7E"/>
    <w:rsid w:val="009F34F9"/>
    <w:rsid w:val="009F3D20"/>
    <w:rsid w:val="009F4470"/>
    <w:rsid w:val="009F4DB0"/>
    <w:rsid w:val="009F5AD1"/>
    <w:rsid w:val="00A02C84"/>
    <w:rsid w:val="00A03B22"/>
    <w:rsid w:val="00A043D8"/>
    <w:rsid w:val="00A054BA"/>
    <w:rsid w:val="00A056F7"/>
    <w:rsid w:val="00A06D8E"/>
    <w:rsid w:val="00A11D7D"/>
    <w:rsid w:val="00A134B8"/>
    <w:rsid w:val="00A15E48"/>
    <w:rsid w:val="00A17D14"/>
    <w:rsid w:val="00A209A9"/>
    <w:rsid w:val="00A21989"/>
    <w:rsid w:val="00A25B12"/>
    <w:rsid w:val="00A26A64"/>
    <w:rsid w:val="00A26F42"/>
    <w:rsid w:val="00A31F0B"/>
    <w:rsid w:val="00A344E4"/>
    <w:rsid w:val="00A345F1"/>
    <w:rsid w:val="00A36393"/>
    <w:rsid w:val="00A37AEB"/>
    <w:rsid w:val="00A40351"/>
    <w:rsid w:val="00A415A9"/>
    <w:rsid w:val="00A434D0"/>
    <w:rsid w:val="00A454A5"/>
    <w:rsid w:val="00A4758B"/>
    <w:rsid w:val="00A4778C"/>
    <w:rsid w:val="00A52095"/>
    <w:rsid w:val="00A54751"/>
    <w:rsid w:val="00A563D9"/>
    <w:rsid w:val="00A63484"/>
    <w:rsid w:val="00A65927"/>
    <w:rsid w:val="00A7258D"/>
    <w:rsid w:val="00A752FE"/>
    <w:rsid w:val="00A758C0"/>
    <w:rsid w:val="00A819C7"/>
    <w:rsid w:val="00A8200E"/>
    <w:rsid w:val="00A825DE"/>
    <w:rsid w:val="00A83D70"/>
    <w:rsid w:val="00A877D6"/>
    <w:rsid w:val="00A917F2"/>
    <w:rsid w:val="00A92F2B"/>
    <w:rsid w:val="00A951B1"/>
    <w:rsid w:val="00A95AF6"/>
    <w:rsid w:val="00A97523"/>
    <w:rsid w:val="00AA2192"/>
    <w:rsid w:val="00AA29C5"/>
    <w:rsid w:val="00AA4308"/>
    <w:rsid w:val="00AA7947"/>
    <w:rsid w:val="00AB0989"/>
    <w:rsid w:val="00AB0A16"/>
    <w:rsid w:val="00AB0BBF"/>
    <w:rsid w:val="00AB1E05"/>
    <w:rsid w:val="00AB1FAA"/>
    <w:rsid w:val="00AB55D6"/>
    <w:rsid w:val="00AB5926"/>
    <w:rsid w:val="00AC0E1B"/>
    <w:rsid w:val="00AC6305"/>
    <w:rsid w:val="00AC6FF1"/>
    <w:rsid w:val="00AC79FB"/>
    <w:rsid w:val="00AC7B9C"/>
    <w:rsid w:val="00AD12C2"/>
    <w:rsid w:val="00AD1970"/>
    <w:rsid w:val="00AD30BB"/>
    <w:rsid w:val="00AD6353"/>
    <w:rsid w:val="00AD6784"/>
    <w:rsid w:val="00AD73DD"/>
    <w:rsid w:val="00AE16A4"/>
    <w:rsid w:val="00AE1C39"/>
    <w:rsid w:val="00AE2031"/>
    <w:rsid w:val="00AE3080"/>
    <w:rsid w:val="00AE4C47"/>
    <w:rsid w:val="00AF029A"/>
    <w:rsid w:val="00AF127C"/>
    <w:rsid w:val="00AF1821"/>
    <w:rsid w:val="00AF333C"/>
    <w:rsid w:val="00AF4057"/>
    <w:rsid w:val="00AF60D5"/>
    <w:rsid w:val="00AF72C6"/>
    <w:rsid w:val="00AF7405"/>
    <w:rsid w:val="00AF7AEA"/>
    <w:rsid w:val="00AF7CBF"/>
    <w:rsid w:val="00B00669"/>
    <w:rsid w:val="00B0071F"/>
    <w:rsid w:val="00B01A7D"/>
    <w:rsid w:val="00B01EED"/>
    <w:rsid w:val="00B02767"/>
    <w:rsid w:val="00B0289F"/>
    <w:rsid w:val="00B02F2C"/>
    <w:rsid w:val="00B03366"/>
    <w:rsid w:val="00B052E3"/>
    <w:rsid w:val="00B05E44"/>
    <w:rsid w:val="00B06999"/>
    <w:rsid w:val="00B07D7E"/>
    <w:rsid w:val="00B12CC4"/>
    <w:rsid w:val="00B15505"/>
    <w:rsid w:val="00B15552"/>
    <w:rsid w:val="00B15B8D"/>
    <w:rsid w:val="00B169F1"/>
    <w:rsid w:val="00B25D12"/>
    <w:rsid w:val="00B26226"/>
    <w:rsid w:val="00B26CC4"/>
    <w:rsid w:val="00B308BA"/>
    <w:rsid w:val="00B3169D"/>
    <w:rsid w:val="00B34780"/>
    <w:rsid w:val="00B4028F"/>
    <w:rsid w:val="00B410F0"/>
    <w:rsid w:val="00B41BDE"/>
    <w:rsid w:val="00B441DA"/>
    <w:rsid w:val="00B44651"/>
    <w:rsid w:val="00B46D30"/>
    <w:rsid w:val="00B46EA0"/>
    <w:rsid w:val="00B52205"/>
    <w:rsid w:val="00B52707"/>
    <w:rsid w:val="00B54026"/>
    <w:rsid w:val="00B638EC"/>
    <w:rsid w:val="00B63ECC"/>
    <w:rsid w:val="00B65D36"/>
    <w:rsid w:val="00B66946"/>
    <w:rsid w:val="00B70848"/>
    <w:rsid w:val="00B7410C"/>
    <w:rsid w:val="00B75E4D"/>
    <w:rsid w:val="00B774EA"/>
    <w:rsid w:val="00B80223"/>
    <w:rsid w:val="00B80AAF"/>
    <w:rsid w:val="00B80DC5"/>
    <w:rsid w:val="00B833F6"/>
    <w:rsid w:val="00B855DE"/>
    <w:rsid w:val="00B87F5F"/>
    <w:rsid w:val="00B92657"/>
    <w:rsid w:val="00B94ABE"/>
    <w:rsid w:val="00B96754"/>
    <w:rsid w:val="00BA031B"/>
    <w:rsid w:val="00BA73FE"/>
    <w:rsid w:val="00BB359A"/>
    <w:rsid w:val="00BB59E9"/>
    <w:rsid w:val="00BC211E"/>
    <w:rsid w:val="00BC3EB2"/>
    <w:rsid w:val="00BC4F34"/>
    <w:rsid w:val="00BD1AE5"/>
    <w:rsid w:val="00BD25EA"/>
    <w:rsid w:val="00BD4A09"/>
    <w:rsid w:val="00BD6218"/>
    <w:rsid w:val="00BE40EC"/>
    <w:rsid w:val="00BE5889"/>
    <w:rsid w:val="00BE6637"/>
    <w:rsid w:val="00BE6A64"/>
    <w:rsid w:val="00BF08DE"/>
    <w:rsid w:val="00BF1C05"/>
    <w:rsid w:val="00BF1DD9"/>
    <w:rsid w:val="00BF273B"/>
    <w:rsid w:val="00BF6201"/>
    <w:rsid w:val="00BF6241"/>
    <w:rsid w:val="00BF7069"/>
    <w:rsid w:val="00C017EA"/>
    <w:rsid w:val="00C028EC"/>
    <w:rsid w:val="00C04853"/>
    <w:rsid w:val="00C06A52"/>
    <w:rsid w:val="00C06C8B"/>
    <w:rsid w:val="00C06CAD"/>
    <w:rsid w:val="00C075AD"/>
    <w:rsid w:val="00C07891"/>
    <w:rsid w:val="00C12E15"/>
    <w:rsid w:val="00C156C0"/>
    <w:rsid w:val="00C16B28"/>
    <w:rsid w:val="00C21E77"/>
    <w:rsid w:val="00C222C4"/>
    <w:rsid w:val="00C2368A"/>
    <w:rsid w:val="00C23EC2"/>
    <w:rsid w:val="00C273A1"/>
    <w:rsid w:val="00C311B7"/>
    <w:rsid w:val="00C31255"/>
    <w:rsid w:val="00C31E8C"/>
    <w:rsid w:val="00C34696"/>
    <w:rsid w:val="00C379D8"/>
    <w:rsid w:val="00C422BA"/>
    <w:rsid w:val="00C443DB"/>
    <w:rsid w:val="00C4794A"/>
    <w:rsid w:val="00C50715"/>
    <w:rsid w:val="00C514D8"/>
    <w:rsid w:val="00C51B7B"/>
    <w:rsid w:val="00C56072"/>
    <w:rsid w:val="00C56195"/>
    <w:rsid w:val="00C57715"/>
    <w:rsid w:val="00C61CFB"/>
    <w:rsid w:val="00C6595E"/>
    <w:rsid w:val="00C67C32"/>
    <w:rsid w:val="00C718DB"/>
    <w:rsid w:val="00C74622"/>
    <w:rsid w:val="00C74E84"/>
    <w:rsid w:val="00C76778"/>
    <w:rsid w:val="00C771DB"/>
    <w:rsid w:val="00C809A2"/>
    <w:rsid w:val="00C80B8E"/>
    <w:rsid w:val="00C877FB"/>
    <w:rsid w:val="00C93D2B"/>
    <w:rsid w:val="00C93E56"/>
    <w:rsid w:val="00C94C8A"/>
    <w:rsid w:val="00C94EC1"/>
    <w:rsid w:val="00CA26BD"/>
    <w:rsid w:val="00CA479B"/>
    <w:rsid w:val="00CA5320"/>
    <w:rsid w:val="00CA7E46"/>
    <w:rsid w:val="00CB06D7"/>
    <w:rsid w:val="00CB0E78"/>
    <w:rsid w:val="00CB13DE"/>
    <w:rsid w:val="00CB1405"/>
    <w:rsid w:val="00CB18CE"/>
    <w:rsid w:val="00CB3CC4"/>
    <w:rsid w:val="00CB4EBB"/>
    <w:rsid w:val="00CC0C15"/>
    <w:rsid w:val="00CC0ECC"/>
    <w:rsid w:val="00CC2730"/>
    <w:rsid w:val="00CC2D78"/>
    <w:rsid w:val="00CC3C46"/>
    <w:rsid w:val="00CD01AD"/>
    <w:rsid w:val="00CD367D"/>
    <w:rsid w:val="00CD40BA"/>
    <w:rsid w:val="00CD4517"/>
    <w:rsid w:val="00CD56BA"/>
    <w:rsid w:val="00CD605C"/>
    <w:rsid w:val="00CD6908"/>
    <w:rsid w:val="00CE179B"/>
    <w:rsid w:val="00CE2A12"/>
    <w:rsid w:val="00CE2B8C"/>
    <w:rsid w:val="00CE2E8A"/>
    <w:rsid w:val="00CE6C51"/>
    <w:rsid w:val="00CF09BC"/>
    <w:rsid w:val="00CF39E1"/>
    <w:rsid w:val="00CF5090"/>
    <w:rsid w:val="00CF6D46"/>
    <w:rsid w:val="00D02014"/>
    <w:rsid w:val="00D0272D"/>
    <w:rsid w:val="00D054FF"/>
    <w:rsid w:val="00D06554"/>
    <w:rsid w:val="00D068A3"/>
    <w:rsid w:val="00D06ECE"/>
    <w:rsid w:val="00D0718D"/>
    <w:rsid w:val="00D0736C"/>
    <w:rsid w:val="00D1048A"/>
    <w:rsid w:val="00D10AAB"/>
    <w:rsid w:val="00D126D9"/>
    <w:rsid w:val="00D127D1"/>
    <w:rsid w:val="00D1287B"/>
    <w:rsid w:val="00D1410A"/>
    <w:rsid w:val="00D16708"/>
    <w:rsid w:val="00D17902"/>
    <w:rsid w:val="00D17ABF"/>
    <w:rsid w:val="00D2036D"/>
    <w:rsid w:val="00D20E14"/>
    <w:rsid w:val="00D22FA1"/>
    <w:rsid w:val="00D26DBB"/>
    <w:rsid w:val="00D27489"/>
    <w:rsid w:val="00D277CE"/>
    <w:rsid w:val="00D27FE1"/>
    <w:rsid w:val="00D30277"/>
    <w:rsid w:val="00D32AF5"/>
    <w:rsid w:val="00D32BBE"/>
    <w:rsid w:val="00D32DE3"/>
    <w:rsid w:val="00D33732"/>
    <w:rsid w:val="00D33FEF"/>
    <w:rsid w:val="00D34984"/>
    <w:rsid w:val="00D35834"/>
    <w:rsid w:val="00D36EE0"/>
    <w:rsid w:val="00D40464"/>
    <w:rsid w:val="00D40C84"/>
    <w:rsid w:val="00D40E8D"/>
    <w:rsid w:val="00D40F15"/>
    <w:rsid w:val="00D42328"/>
    <w:rsid w:val="00D439F8"/>
    <w:rsid w:val="00D44A78"/>
    <w:rsid w:val="00D45DF2"/>
    <w:rsid w:val="00D460AB"/>
    <w:rsid w:val="00D4793F"/>
    <w:rsid w:val="00D52F69"/>
    <w:rsid w:val="00D5513F"/>
    <w:rsid w:val="00D56982"/>
    <w:rsid w:val="00D627F9"/>
    <w:rsid w:val="00D64D6A"/>
    <w:rsid w:val="00D70447"/>
    <w:rsid w:val="00D73792"/>
    <w:rsid w:val="00D76D4D"/>
    <w:rsid w:val="00D771AC"/>
    <w:rsid w:val="00D77984"/>
    <w:rsid w:val="00D82592"/>
    <w:rsid w:val="00D83AD6"/>
    <w:rsid w:val="00D84C1E"/>
    <w:rsid w:val="00D8682E"/>
    <w:rsid w:val="00D868FE"/>
    <w:rsid w:val="00D90172"/>
    <w:rsid w:val="00D94501"/>
    <w:rsid w:val="00D964FD"/>
    <w:rsid w:val="00D97666"/>
    <w:rsid w:val="00D979F3"/>
    <w:rsid w:val="00DA017B"/>
    <w:rsid w:val="00DA2758"/>
    <w:rsid w:val="00DA3034"/>
    <w:rsid w:val="00DA3ECD"/>
    <w:rsid w:val="00DA4597"/>
    <w:rsid w:val="00DA499E"/>
    <w:rsid w:val="00DA4E62"/>
    <w:rsid w:val="00DB0033"/>
    <w:rsid w:val="00DB0405"/>
    <w:rsid w:val="00DB23EA"/>
    <w:rsid w:val="00DB24DA"/>
    <w:rsid w:val="00DB3B81"/>
    <w:rsid w:val="00DB5144"/>
    <w:rsid w:val="00DB5BC4"/>
    <w:rsid w:val="00DB634A"/>
    <w:rsid w:val="00DB6A22"/>
    <w:rsid w:val="00DB6A90"/>
    <w:rsid w:val="00DB6E42"/>
    <w:rsid w:val="00DC0E09"/>
    <w:rsid w:val="00DC107E"/>
    <w:rsid w:val="00DC1BAF"/>
    <w:rsid w:val="00DC23A9"/>
    <w:rsid w:val="00DC411A"/>
    <w:rsid w:val="00DC422B"/>
    <w:rsid w:val="00DC55BB"/>
    <w:rsid w:val="00DC6022"/>
    <w:rsid w:val="00DC7FAA"/>
    <w:rsid w:val="00DD08B6"/>
    <w:rsid w:val="00DD4DB9"/>
    <w:rsid w:val="00DD574B"/>
    <w:rsid w:val="00DD6050"/>
    <w:rsid w:val="00DD61D4"/>
    <w:rsid w:val="00DD7300"/>
    <w:rsid w:val="00DE10B2"/>
    <w:rsid w:val="00DE1C4B"/>
    <w:rsid w:val="00DE1D4B"/>
    <w:rsid w:val="00DE1F28"/>
    <w:rsid w:val="00DE1FED"/>
    <w:rsid w:val="00DE277C"/>
    <w:rsid w:val="00DE3C88"/>
    <w:rsid w:val="00DF001B"/>
    <w:rsid w:val="00DF0E7A"/>
    <w:rsid w:val="00DF1E77"/>
    <w:rsid w:val="00DF33AF"/>
    <w:rsid w:val="00DF40FA"/>
    <w:rsid w:val="00DF677F"/>
    <w:rsid w:val="00DF7398"/>
    <w:rsid w:val="00E02329"/>
    <w:rsid w:val="00E02620"/>
    <w:rsid w:val="00E052D4"/>
    <w:rsid w:val="00E06C0B"/>
    <w:rsid w:val="00E07639"/>
    <w:rsid w:val="00E13D01"/>
    <w:rsid w:val="00E14F5F"/>
    <w:rsid w:val="00E16AB7"/>
    <w:rsid w:val="00E17CF9"/>
    <w:rsid w:val="00E22341"/>
    <w:rsid w:val="00E22D66"/>
    <w:rsid w:val="00E27972"/>
    <w:rsid w:val="00E31B38"/>
    <w:rsid w:val="00E344BB"/>
    <w:rsid w:val="00E35097"/>
    <w:rsid w:val="00E4285C"/>
    <w:rsid w:val="00E43A14"/>
    <w:rsid w:val="00E43E78"/>
    <w:rsid w:val="00E44955"/>
    <w:rsid w:val="00E459E9"/>
    <w:rsid w:val="00E468B6"/>
    <w:rsid w:val="00E47F7D"/>
    <w:rsid w:val="00E50CE9"/>
    <w:rsid w:val="00E50F6E"/>
    <w:rsid w:val="00E53B2B"/>
    <w:rsid w:val="00E61940"/>
    <w:rsid w:val="00E6261F"/>
    <w:rsid w:val="00E62924"/>
    <w:rsid w:val="00E64920"/>
    <w:rsid w:val="00E667AA"/>
    <w:rsid w:val="00E679C0"/>
    <w:rsid w:val="00E70DBA"/>
    <w:rsid w:val="00E729D1"/>
    <w:rsid w:val="00E7377B"/>
    <w:rsid w:val="00E738CA"/>
    <w:rsid w:val="00E73E1E"/>
    <w:rsid w:val="00E74632"/>
    <w:rsid w:val="00E83F8D"/>
    <w:rsid w:val="00E8452F"/>
    <w:rsid w:val="00E86497"/>
    <w:rsid w:val="00E91B30"/>
    <w:rsid w:val="00E9242E"/>
    <w:rsid w:val="00E938CA"/>
    <w:rsid w:val="00E954C1"/>
    <w:rsid w:val="00EA055E"/>
    <w:rsid w:val="00EA2AD4"/>
    <w:rsid w:val="00EA3151"/>
    <w:rsid w:val="00EA32C5"/>
    <w:rsid w:val="00EA5270"/>
    <w:rsid w:val="00EA62F8"/>
    <w:rsid w:val="00EA7160"/>
    <w:rsid w:val="00EA79FE"/>
    <w:rsid w:val="00EB20C6"/>
    <w:rsid w:val="00EB2D5D"/>
    <w:rsid w:val="00EB3808"/>
    <w:rsid w:val="00EB3FA9"/>
    <w:rsid w:val="00EB5A2D"/>
    <w:rsid w:val="00EB60DC"/>
    <w:rsid w:val="00EB7672"/>
    <w:rsid w:val="00EB7812"/>
    <w:rsid w:val="00EC126E"/>
    <w:rsid w:val="00EC192C"/>
    <w:rsid w:val="00EC4046"/>
    <w:rsid w:val="00EC5885"/>
    <w:rsid w:val="00ED0E3F"/>
    <w:rsid w:val="00ED195B"/>
    <w:rsid w:val="00ED19C5"/>
    <w:rsid w:val="00ED26B0"/>
    <w:rsid w:val="00ED3304"/>
    <w:rsid w:val="00ED5195"/>
    <w:rsid w:val="00ED5FCC"/>
    <w:rsid w:val="00EE0D8F"/>
    <w:rsid w:val="00EE22B5"/>
    <w:rsid w:val="00EE2FB3"/>
    <w:rsid w:val="00EE4EBC"/>
    <w:rsid w:val="00EE7A87"/>
    <w:rsid w:val="00EF0273"/>
    <w:rsid w:val="00EF03C3"/>
    <w:rsid w:val="00EF0FD1"/>
    <w:rsid w:val="00F00383"/>
    <w:rsid w:val="00F03272"/>
    <w:rsid w:val="00F03981"/>
    <w:rsid w:val="00F0727C"/>
    <w:rsid w:val="00F077BC"/>
    <w:rsid w:val="00F12D56"/>
    <w:rsid w:val="00F131B6"/>
    <w:rsid w:val="00F142AA"/>
    <w:rsid w:val="00F15BFE"/>
    <w:rsid w:val="00F17511"/>
    <w:rsid w:val="00F17E65"/>
    <w:rsid w:val="00F22709"/>
    <w:rsid w:val="00F23127"/>
    <w:rsid w:val="00F26059"/>
    <w:rsid w:val="00F262CF"/>
    <w:rsid w:val="00F27904"/>
    <w:rsid w:val="00F27F96"/>
    <w:rsid w:val="00F335F4"/>
    <w:rsid w:val="00F35B6A"/>
    <w:rsid w:val="00F36534"/>
    <w:rsid w:val="00F412C4"/>
    <w:rsid w:val="00F42C62"/>
    <w:rsid w:val="00F45E34"/>
    <w:rsid w:val="00F5053A"/>
    <w:rsid w:val="00F50593"/>
    <w:rsid w:val="00F50CEC"/>
    <w:rsid w:val="00F5351E"/>
    <w:rsid w:val="00F536B4"/>
    <w:rsid w:val="00F536F1"/>
    <w:rsid w:val="00F55996"/>
    <w:rsid w:val="00F5782D"/>
    <w:rsid w:val="00F61FE9"/>
    <w:rsid w:val="00F62DB0"/>
    <w:rsid w:val="00F65085"/>
    <w:rsid w:val="00F727D6"/>
    <w:rsid w:val="00F72BDC"/>
    <w:rsid w:val="00F7319B"/>
    <w:rsid w:val="00F74C74"/>
    <w:rsid w:val="00F81BFB"/>
    <w:rsid w:val="00F86229"/>
    <w:rsid w:val="00F86B78"/>
    <w:rsid w:val="00F915A6"/>
    <w:rsid w:val="00F9181C"/>
    <w:rsid w:val="00F92458"/>
    <w:rsid w:val="00F93E1B"/>
    <w:rsid w:val="00F94D05"/>
    <w:rsid w:val="00F95891"/>
    <w:rsid w:val="00FA0579"/>
    <w:rsid w:val="00FA4B4E"/>
    <w:rsid w:val="00FA6BC4"/>
    <w:rsid w:val="00FA79AB"/>
    <w:rsid w:val="00FB10E5"/>
    <w:rsid w:val="00FB11A1"/>
    <w:rsid w:val="00FB3DCC"/>
    <w:rsid w:val="00FB3E71"/>
    <w:rsid w:val="00FB4B5A"/>
    <w:rsid w:val="00FB6C2E"/>
    <w:rsid w:val="00FB6F06"/>
    <w:rsid w:val="00FC1414"/>
    <w:rsid w:val="00FC1735"/>
    <w:rsid w:val="00FC33CD"/>
    <w:rsid w:val="00FC444C"/>
    <w:rsid w:val="00FC71D3"/>
    <w:rsid w:val="00FD0618"/>
    <w:rsid w:val="00FD0725"/>
    <w:rsid w:val="00FD1E73"/>
    <w:rsid w:val="00FD3788"/>
    <w:rsid w:val="00FD3AAF"/>
    <w:rsid w:val="00FD4AD5"/>
    <w:rsid w:val="00FE1D68"/>
    <w:rsid w:val="00FE3477"/>
    <w:rsid w:val="00FE3CE9"/>
    <w:rsid w:val="00FE4903"/>
    <w:rsid w:val="00FE4CBD"/>
    <w:rsid w:val="00FF2D89"/>
    <w:rsid w:val="00FF4269"/>
    <w:rsid w:val="00FF586F"/>
    <w:rsid w:val="00FF6880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F44EB"/>
    <w:pPr>
      <w:keepNext/>
      <w:keepLines/>
      <w:spacing w:before="360" w:after="540"/>
      <w:jc w:val="center"/>
      <w:outlineLvl w:val="0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C2730"/>
    <w:pPr>
      <w:keepNext/>
      <w:keepLines/>
      <w:spacing w:after="360" w:line="240" w:lineRule="auto"/>
      <w:outlineLvl w:val="1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C7C5F"/>
    <w:pPr>
      <w:keepNext/>
      <w:keepLines/>
      <w:numPr>
        <w:ilvl w:val="2"/>
        <w:numId w:val="35"/>
      </w:numPr>
      <w:spacing w:after="360" w:line="240" w:lineRule="auto"/>
      <w:outlineLvl w:val="2"/>
    </w:pPr>
    <w:rPr>
      <w:rFonts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C699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8F44EB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C2730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paragraph" w:styleId="Prrafodelista">
    <w:name w:val="List Paragraph"/>
    <w:aliases w:val="Lista viñetas,Párrafo,Lista viñeta,Ha,List Paragraph1,lp1,Párrafo de lista1,Bullet List,FooterText,Use Case List Paragraph,titulo 3,numbered,Paragraphe de liste1,Bulletr List Paragraph,Foot,列出段落,列出段落1,List Paragraph2,List Paragraph21,H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1C7C5F"/>
    <w:rPr>
      <w:rFonts w:ascii="Arial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6990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s Car,Párrafo Car,Lista viñeta Car,Ha Car,List Paragraph1 Car,lp1 Car,Párrafo de lista1 Car,Bullet List Car,FooterText Car,Use Case List Paragraph Car,titulo 3 Car,numbered Car,Paragraphe de liste1 Car,Foot Car,列出段落 Car"/>
    <w:basedOn w:val="Fuentedeprrafopredeter"/>
    <w:link w:val="Prrafodelista"/>
    <w:uiPriority w:val="34"/>
    <w:qFormat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3034F6"/>
    <w:pPr>
      <w:spacing w:after="720" w:line="480" w:lineRule="auto"/>
    </w:pPr>
    <w:rPr>
      <w:sz w:val="4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qFormat/>
    <w:rsid w:val="00252007"/>
    <w:pPr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3034F6"/>
    <w:rPr>
      <w:rFonts w:ascii="Arial" w:eastAsiaTheme="majorEastAsia" w:hAnsi="Arial" w:cstheme="majorBidi"/>
      <w:b/>
      <w:bCs/>
      <w:color w:val="365F91" w:themeColor="accent1" w:themeShade="BF"/>
      <w:sz w:val="4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252007"/>
    <w:rPr>
      <w:rFonts w:ascii="Arial" w:hAnsi="Arial" w:cs="Arial"/>
      <w:b/>
      <w:color w:val="FFFFFF" w:themeColor="background1"/>
      <w:sz w:val="24"/>
      <w:szCs w:val="24"/>
      <w:shd w:val="clear" w:color="auto" w:fill="365F91" w:themeFill="accent1" w:themeFillShade="BF"/>
      <w:lang w:val="es-ES"/>
    </w:rPr>
  </w:style>
  <w:style w:type="paragraph" w:customStyle="1" w:styleId="PortadaDescripcin">
    <w:name w:val="Portada Descripción"/>
    <w:basedOn w:val="Normal"/>
    <w:link w:val="PortadaDescripcinCar"/>
    <w:qFormat/>
    <w:rsid w:val="001C6990"/>
    <w:pPr>
      <w:spacing w:before="1080" w:after="1080"/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1C6990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850E7D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850E7D"/>
    <w:rPr>
      <w:rFonts w:ascii="Arial" w:hAnsi="Arial"/>
      <w:b/>
      <w:sz w:val="24"/>
    </w:rPr>
  </w:style>
  <w:style w:type="paragraph" w:customStyle="1" w:styleId="Portada-Superintendencia">
    <w:name w:val="Portada - Superintendencia"/>
    <w:basedOn w:val="PortadaDescripcin"/>
    <w:link w:val="Portada-SuperintendenciaCar"/>
    <w:qFormat/>
    <w:rsid w:val="008C4054"/>
    <w:pPr>
      <w:spacing w:before="4200" w:after="0"/>
    </w:pPr>
    <w:rPr>
      <w:b/>
      <w:sz w:val="32"/>
    </w:rPr>
  </w:style>
  <w:style w:type="character" w:customStyle="1" w:styleId="Portada-SuperintendenciaCar">
    <w:name w:val="Portada - Superintendencia Car"/>
    <w:basedOn w:val="PortadaDescripcinCar"/>
    <w:link w:val="Portada-Superintendencia"/>
    <w:rsid w:val="008C4054"/>
    <w:rPr>
      <w:rFonts w:ascii="Arial" w:hAnsi="Arial"/>
      <w:b/>
      <w:i/>
      <w:sz w:val="32"/>
    </w:rPr>
  </w:style>
  <w:style w:type="table" w:styleId="Tabladelista2-nfasis3">
    <w:name w:val="List Table 2 Accent 3"/>
    <w:basedOn w:val="Tablanormal"/>
    <w:uiPriority w:val="47"/>
    <w:rsid w:val="00CE2B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57C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C44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7C4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uentedeprrafopredeter"/>
    <w:rsid w:val="00752C87"/>
  </w:style>
  <w:style w:type="character" w:styleId="Hipervnculovisitado">
    <w:name w:val="FollowedHyperlink"/>
    <w:basedOn w:val="Fuentedeprrafopredeter"/>
    <w:uiPriority w:val="99"/>
    <w:semiHidden/>
    <w:unhideWhenUsed/>
    <w:rsid w:val="007C5F8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0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89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89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891"/>
    <w:rPr>
      <w:vertAlign w:val="superscript"/>
    </w:rPr>
  </w:style>
  <w:style w:type="character" w:customStyle="1" w:styleId="ui-provider">
    <w:name w:val="ui-provider"/>
    <w:basedOn w:val="Fuentedeprrafopredeter"/>
    <w:rsid w:val="006501CC"/>
  </w:style>
  <w:style w:type="paragraph" w:styleId="Revisin">
    <w:name w:val="Revision"/>
    <w:hidden/>
    <w:uiPriority w:val="99"/>
    <w:semiHidden/>
    <w:rsid w:val="00027B8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59999">
          <w:marLeft w:val="54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095">
          <w:marLeft w:val="54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DEPI01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2025-01-15T05:00:00+00:00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Política para la Administración del Riesgo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2025-01-15T05:00:00+00:00</Fecha_x0020_de_x0020_inicio_x0020_de_x0020_publicación>
    <Tipo_x0020_Documental xmlns="cfd7d055-4c42-4b1a-a19c-7e601acfe3a8">1686</Tipo_x0020_Documental>
    <_dlc_DocId xmlns="b6565643-c00f-44ce-b5d1-532a85e4382c">XQAF2AT3N76N-114-4732</_dlc_DocId>
    <_dlc_DocIdUrl xmlns="b6565643-c00f-44ce-b5d1-532a85e4382c">
      <Url>https://docs.supersalud.gov.co/PortalWeb/planeacion/_layouts/15/DocIdRedir.aspx?ID=XQAF2AT3N76N-114-4732</Url>
      <Description>XQAF2AT3N76N-114-4732</Description>
    </_dlc_DocIdUrl>
    <DLCPolicyLabelClientValue xmlns="60c38085-413c-455a-bf36-609d76e3b506" xsi:nil="true"/>
    <DLCPolicyLabelLock xmlns="60c38085-413c-455a-bf36-609d76e3b506" xsi:nil="true"/>
    <DLCPolicyLabelValue xmlns="60c38085-413c-455a-bf36-609d76e3b506">Copia Controlada</DLCPolicyLabelValue>
  </documentManagement>
</p:properties>
</file>

<file path=customXml/item3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D5577-E6F5-4147-9EC9-E4B050A138FD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9E3552F8-39AA-4106-8EB6-202FD51F9B8C}"/>
</file>

<file path=customXml/itemProps5.xml><?xml version="1.0" encoding="utf-8"?>
<ds:datastoreItem xmlns:ds="http://schemas.openxmlformats.org/officeDocument/2006/customXml" ds:itemID="{7253ABCB-78F7-4EC0-BBF3-EE51DB90E9EC}"/>
</file>

<file path=customXml/itemProps6.xml><?xml version="1.0" encoding="utf-8"?>
<ds:datastoreItem xmlns:ds="http://schemas.openxmlformats.org/officeDocument/2006/customXml" ds:itemID="{01A4759B-1A08-4000-92F2-9092269A2AD8}"/>
</file>

<file path=customXml/itemProps7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1235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Política Institucional - SIG</vt:lpstr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para la Administración del Riesgo</dc:title>
  <dc:subject>Subtítulo o descripción del manual</dc:subject>
  <dc:creator>jlozano@supersalud.gov.co</dc:creator>
  <cp:keywords>DEPI01</cp:keywords>
  <dc:description/>
  <cp:lastModifiedBy>Edwar Hernando Preciado Gutierrez</cp:lastModifiedBy>
  <cp:revision>3</cp:revision>
  <cp:lastPrinted>2021-12-09T20:17:00Z</cp:lastPrinted>
  <dcterms:created xsi:type="dcterms:W3CDTF">2025-01-15T15:01:00Z</dcterms:created>
  <dcterms:modified xsi:type="dcterms:W3CDTF">2025-01-15T22:40:00Z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c4c90c09-593f-49bd-b69b-c7cd0ff9a1ab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