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384F74" w:rsidRPr="003622FD" w14:paraId="44392DEB" w14:textId="77777777" w:rsidTr="00455203">
        <w:tc>
          <w:tcPr>
            <w:tcW w:w="2268" w:type="dxa"/>
            <w:tcBorders>
              <w:top w:val="single" w:sz="4" w:space="0" w:color="auto"/>
              <w:left w:val="single" w:sz="4" w:space="0" w:color="auto"/>
              <w:bottom w:val="nil"/>
              <w:right w:val="single" w:sz="4" w:space="0" w:color="auto"/>
            </w:tcBorders>
          </w:tcPr>
          <w:p w14:paraId="1783B109" w14:textId="58159F2D" w:rsidR="00384F74" w:rsidRPr="003622FD" w:rsidRDefault="00A36D0D" w:rsidP="00384F74">
            <w:pPr>
              <w:pStyle w:val="Encabezado"/>
              <w:rPr>
                <w:rFonts w:cs="Arial"/>
                <w:b/>
                <w:bCs/>
                <w:sz w:val="22"/>
              </w:rPr>
            </w:pPr>
            <w:r w:rsidRPr="003622FD">
              <w:rPr>
                <w:rFonts w:cs="Arial"/>
                <w:b/>
                <w:bCs/>
                <w:noProof/>
                <w:sz w:val="22"/>
              </w:rPr>
              <w:drawing>
                <wp:anchor distT="0" distB="0" distL="114300" distR="114300" simplePos="0" relativeHeight="251663360" behindDoc="0" locked="0" layoutInCell="1" allowOverlap="1" wp14:anchorId="45ACE888" wp14:editId="34949A91">
                  <wp:simplePos x="0" y="0"/>
                  <wp:positionH relativeFrom="column">
                    <wp:posOffset>-22860</wp:posOffset>
                  </wp:positionH>
                  <wp:positionV relativeFrom="paragraph">
                    <wp:posOffset>12700</wp:posOffset>
                  </wp:positionV>
                  <wp:extent cx="1374775" cy="904875"/>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291" b="-11487"/>
                          <a:stretch/>
                        </pic:blipFill>
                        <pic:spPr bwMode="auto">
                          <a:xfrm>
                            <a:off x="0" y="0"/>
                            <a:ext cx="137477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tcBorders>
              <w:top w:val="single" w:sz="4" w:space="0" w:color="auto"/>
              <w:left w:val="single" w:sz="4" w:space="0" w:color="auto"/>
              <w:right w:val="single" w:sz="4" w:space="0" w:color="auto"/>
            </w:tcBorders>
            <w:vAlign w:val="center"/>
          </w:tcPr>
          <w:p w14:paraId="322B6F07" w14:textId="1692DDB6" w:rsidR="00384F74" w:rsidRPr="003622FD" w:rsidRDefault="00384F74" w:rsidP="004B0932">
            <w:pPr>
              <w:pStyle w:val="Encabezado"/>
              <w:jc w:val="center"/>
              <w:rPr>
                <w:rFonts w:cs="Arial"/>
                <w:b/>
                <w:bCs/>
                <w:sz w:val="22"/>
              </w:rPr>
            </w:pPr>
            <w:r>
              <w:rPr>
                <w:rFonts w:cs="Arial"/>
                <w:b/>
                <w:bCs/>
                <w:sz w:val="22"/>
              </w:rPr>
              <w:t>PROCESO</w:t>
            </w:r>
            <w:r w:rsidR="00065988">
              <w:rPr>
                <w:rFonts w:cs="Arial"/>
                <w:b/>
                <w:bCs/>
                <w:sz w:val="22"/>
              </w:rPr>
              <w:t xml:space="preserve"> </w:t>
            </w:r>
            <w:r w:rsidR="00B05A17">
              <w:rPr>
                <w:rFonts w:cs="Arial"/>
                <w:b/>
                <w:bCs/>
                <w:sz w:val="22"/>
              </w:rPr>
              <w:t>SEGUIMIENTO Y EVALUACIÓN AL VIGILADO</w:t>
            </w:r>
          </w:p>
        </w:tc>
        <w:tc>
          <w:tcPr>
            <w:tcW w:w="1218" w:type="dxa"/>
            <w:tcBorders>
              <w:left w:val="single" w:sz="4" w:space="0" w:color="auto"/>
            </w:tcBorders>
          </w:tcPr>
          <w:p w14:paraId="474F2154" w14:textId="77777777" w:rsidR="00384F74" w:rsidRPr="00D05366" w:rsidRDefault="00384F74" w:rsidP="00384F74">
            <w:pPr>
              <w:pStyle w:val="Encabezado"/>
              <w:rPr>
                <w:rFonts w:cs="Arial"/>
                <w:b/>
                <w:bCs/>
                <w:sz w:val="20"/>
                <w:szCs w:val="20"/>
              </w:rPr>
            </w:pPr>
            <w:r w:rsidRPr="00D05366">
              <w:rPr>
                <w:rFonts w:cs="Arial"/>
                <w:b/>
                <w:bCs/>
                <w:sz w:val="20"/>
                <w:szCs w:val="20"/>
              </w:rPr>
              <w:t>CÓDIGO</w:t>
            </w:r>
          </w:p>
        </w:tc>
        <w:tc>
          <w:tcPr>
            <w:tcW w:w="1341" w:type="dxa"/>
          </w:tcPr>
          <w:p w14:paraId="41BE7FCA" w14:textId="3756D8E6" w:rsidR="00384F74" w:rsidRPr="00D05366" w:rsidRDefault="004B40F5" w:rsidP="00384F74">
            <w:pPr>
              <w:pStyle w:val="Encabezado"/>
              <w:rPr>
                <w:rFonts w:cs="Arial"/>
                <w:bCs/>
                <w:sz w:val="20"/>
                <w:szCs w:val="20"/>
              </w:rPr>
            </w:pPr>
            <w:r>
              <w:rPr>
                <w:rFonts w:cs="Arial"/>
                <w:bCs/>
                <w:sz w:val="20"/>
                <w:szCs w:val="20"/>
              </w:rPr>
              <w:t>SEFT26</w:t>
            </w:r>
          </w:p>
        </w:tc>
      </w:tr>
      <w:tr w:rsidR="00384F74" w:rsidRPr="003622FD" w14:paraId="6A802BFF" w14:textId="77777777" w:rsidTr="00455203">
        <w:tc>
          <w:tcPr>
            <w:tcW w:w="2268" w:type="dxa"/>
            <w:tcBorders>
              <w:top w:val="nil"/>
              <w:left w:val="single" w:sz="4" w:space="0" w:color="auto"/>
              <w:bottom w:val="nil"/>
              <w:right w:val="single" w:sz="4" w:space="0" w:color="auto"/>
            </w:tcBorders>
          </w:tcPr>
          <w:p w14:paraId="60A3596D" w14:textId="17C4E2AD" w:rsidR="00384F74" w:rsidRPr="003622FD" w:rsidRDefault="00384F74" w:rsidP="00384F74">
            <w:pPr>
              <w:pStyle w:val="Encabezado"/>
              <w:rPr>
                <w:rFonts w:cs="Arial"/>
                <w:b/>
                <w:bCs/>
                <w:sz w:val="22"/>
              </w:rPr>
            </w:pPr>
          </w:p>
        </w:tc>
        <w:tc>
          <w:tcPr>
            <w:tcW w:w="4678" w:type="dxa"/>
            <w:vMerge w:val="restart"/>
            <w:tcBorders>
              <w:left w:val="single" w:sz="4" w:space="0" w:color="auto"/>
              <w:right w:val="single" w:sz="4" w:space="0" w:color="auto"/>
            </w:tcBorders>
            <w:vAlign w:val="center"/>
          </w:tcPr>
          <w:p w14:paraId="75AA8841" w14:textId="6499F0B2" w:rsidR="00384F74" w:rsidRPr="003622FD" w:rsidRDefault="00065988" w:rsidP="004B0932">
            <w:pPr>
              <w:pStyle w:val="Encabezado"/>
              <w:jc w:val="center"/>
              <w:rPr>
                <w:rFonts w:cs="Arial"/>
                <w:b/>
                <w:bCs/>
                <w:sz w:val="22"/>
              </w:rPr>
            </w:pPr>
            <w:r w:rsidRPr="007B21F2">
              <w:rPr>
                <w:rFonts w:eastAsia="Times New Roman" w:cs="Arial"/>
                <w:b/>
                <w:bCs/>
                <w:sz w:val="22"/>
                <w:lang w:eastAsia="es-CO"/>
              </w:rPr>
              <w:t xml:space="preserve">ACTA DE </w:t>
            </w:r>
            <w:r w:rsidR="00B05A17">
              <w:rPr>
                <w:rFonts w:eastAsia="Times New Roman" w:cs="Arial"/>
                <w:b/>
                <w:bCs/>
                <w:sz w:val="22"/>
                <w:lang w:eastAsia="es-CO"/>
              </w:rPr>
              <w:t>VERIFICACIÓN INTERRUPCIÓN VOLUNTARIA DEL EMBARAZO</w:t>
            </w:r>
          </w:p>
        </w:tc>
        <w:tc>
          <w:tcPr>
            <w:tcW w:w="1218" w:type="dxa"/>
            <w:tcBorders>
              <w:left w:val="single" w:sz="4" w:space="0" w:color="auto"/>
            </w:tcBorders>
          </w:tcPr>
          <w:p w14:paraId="2A3A27C4" w14:textId="77777777" w:rsidR="00384F74" w:rsidRPr="00D05366" w:rsidRDefault="00384F74" w:rsidP="00384F74">
            <w:pPr>
              <w:pStyle w:val="Encabezado"/>
              <w:rPr>
                <w:rFonts w:cs="Arial"/>
                <w:b/>
                <w:bCs/>
                <w:sz w:val="20"/>
                <w:szCs w:val="20"/>
              </w:rPr>
            </w:pPr>
            <w:r w:rsidRPr="00D05366">
              <w:rPr>
                <w:rFonts w:cs="Arial"/>
                <w:b/>
                <w:bCs/>
                <w:sz w:val="20"/>
                <w:szCs w:val="20"/>
              </w:rPr>
              <w:t>VERSIÓN</w:t>
            </w:r>
          </w:p>
        </w:tc>
        <w:tc>
          <w:tcPr>
            <w:tcW w:w="1341" w:type="dxa"/>
          </w:tcPr>
          <w:p w14:paraId="14145150" w14:textId="38E57977" w:rsidR="00384F74" w:rsidRPr="00D05366" w:rsidRDefault="00B05A17" w:rsidP="00384F74">
            <w:pPr>
              <w:pStyle w:val="Encabezado"/>
              <w:rPr>
                <w:rFonts w:cs="Arial"/>
                <w:bCs/>
                <w:sz w:val="20"/>
                <w:szCs w:val="20"/>
              </w:rPr>
            </w:pPr>
            <w:r>
              <w:rPr>
                <w:rFonts w:cs="Arial"/>
                <w:bCs/>
                <w:sz w:val="20"/>
                <w:szCs w:val="20"/>
              </w:rPr>
              <w:t>1</w:t>
            </w:r>
          </w:p>
        </w:tc>
      </w:tr>
      <w:tr w:rsidR="00384F74" w:rsidRPr="003622FD" w14:paraId="3E8D16B5" w14:textId="77777777" w:rsidTr="00455203">
        <w:tc>
          <w:tcPr>
            <w:tcW w:w="2268" w:type="dxa"/>
            <w:tcBorders>
              <w:top w:val="nil"/>
              <w:left w:val="single" w:sz="4" w:space="0" w:color="auto"/>
              <w:bottom w:val="single" w:sz="4" w:space="0" w:color="auto"/>
              <w:right w:val="single" w:sz="4" w:space="0" w:color="auto"/>
            </w:tcBorders>
          </w:tcPr>
          <w:p w14:paraId="5224CFD8" w14:textId="77777777" w:rsidR="00384F74" w:rsidRPr="003622FD" w:rsidRDefault="00384F74" w:rsidP="00384F74">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6946751F" w14:textId="77777777" w:rsidR="00384F74" w:rsidRPr="003622FD" w:rsidRDefault="00384F74" w:rsidP="00384F74">
            <w:pPr>
              <w:pStyle w:val="Encabezado"/>
              <w:rPr>
                <w:rFonts w:cs="Arial"/>
                <w:b/>
                <w:bCs/>
                <w:sz w:val="22"/>
              </w:rPr>
            </w:pPr>
          </w:p>
        </w:tc>
        <w:tc>
          <w:tcPr>
            <w:tcW w:w="1218" w:type="dxa"/>
            <w:tcBorders>
              <w:left w:val="single" w:sz="4" w:space="0" w:color="auto"/>
            </w:tcBorders>
          </w:tcPr>
          <w:p w14:paraId="4F08166E" w14:textId="77777777" w:rsidR="00384F74" w:rsidRPr="00D05366" w:rsidRDefault="00384F74" w:rsidP="00384F74">
            <w:pPr>
              <w:pStyle w:val="Encabezado"/>
              <w:rPr>
                <w:rFonts w:cs="Arial"/>
                <w:b/>
                <w:bCs/>
                <w:sz w:val="20"/>
                <w:szCs w:val="20"/>
              </w:rPr>
            </w:pPr>
            <w:r w:rsidRPr="00D05366">
              <w:rPr>
                <w:rFonts w:cs="Arial"/>
                <w:b/>
                <w:bCs/>
                <w:sz w:val="20"/>
                <w:szCs w:val="20"/>
              </w:rPr>
              <w:t>FECHA</w:t>
            </w:r>
          </w:p>
        </w:tc>
        <w:tc>
          <w:tcPr>
            <w:tcW w:w="1341" w:type="dxa"/>
          </w:tcPr>
          <w:p w14:paraId="04515095" w14:textId="3DCB5AF9" w:rsidR="00384F74" w:rsidRPr="00D05366" w:rsidRDefault="003E232B" w:rsidP="00384F74">
            <w:pPr>
              <w:pStyle w:val="Encabezado"/>
              <w:rPr>
                <w:rFonts w:cs="Arial"/>
                <w:bCs/>
                <w:sz w:val="20"/>
                <w:szCs w:val="20"/>
              </w:rPr>
            </w:pPr>
            <w:r>
              <w:rPr>
                <w:rFonts w:cs="Arial"/>
                <w:bCs/>
                <w:sz w:val="20"/>
                <w:szCs w:val="20"/>
              </w:rPr>
              <w:t>13/02/2026</w:t>
            </w:r>
          </w:p>
        </w:tc>
      </w:tr>
    </w:tbl>
    <w:p w14:paraId="57D6A06D" w14:textId="77777777" w:rsidR="00065988" w:rsidRDefault="00065988" w:rsidP="00065988">
      <w:pPr>
        <w:pStyle w:val="Sinespaciado"/>
        <w:spacing w:line="360" w:lineRule="auto"/>
        <w:jc w:val="center"/>
        <w:rPr>
          <w:rFonts w:ascii="Arial" w:eastAsia="Times New Roman" w:hAnsi="Arial" w:cs="Arial"/>
          <w:b/>
          <w:bCs/>
          <w:color w:val="7F7F7F" w:themeColor="text1" w:themeTint="80"/>
          <w:sz w:val="24"/>
          <w:szCs w:val="24"/>
        </w:rPr>
      </w:pPr>
    </w:p>
    <w:tbl>
      <w:tblPr>
        <w:tblStyle w:val="Tablaconcuadrcula"/>
        <w:tblpPr w:leftFromText="141" w:rightFromText="141" w:vertAnchor="page" w:tblpY="2926"/>
        <w:tblW w:w="0" w:type="auto"/>
        <w:tblLook w:val="04A0" w:firstRow="1" w:lastRow="0" w:firstColumn="1" w:lastColumn="0" w:noHBand="0" w:noVBand="1"/>
      </w:tblPr>
      <w:tblGrid>
        <w:gridCol w:w="4414"/>
        <w:gridCol w:w="4414"/>
      </w:tblGrid>
      <w:tr w:rsidR="00B05A17" w14:paraId="6C5B35C0" w14:textId="77777777" w:rsidTr="00B05A17">
        <w:tc>
          <w:tcPr>
            <w:tcW w:w="4414" w:type="dxa"/>
          </w:tcPr>
          <w:p w14:paraId="752278B7" w14:textId="77777777" w:rsidR="00B05A17" w:rsidRDefault="00B05A17" w:rsidP="00B05A17">
            <w:pPr>
              <w:jc w:val="center"/>
            </w:pPr>
            <w:r>
              <w:t xml:space="preserve">Acta Nro. </w:t>
            </w:r>
          </w:p>
        </w:tc>
        <w:tc>
          <w:tcPr>
            <w:tcW w:w="4414" w:type="dxa"/>
          </w:tcPr>
          <w:p w14:paraId="467E0A3A" w14:textId="77777777" w:rsidR="00B05A17" w:rsidRPr="00692325" w:rsidRDefault="00B05A17" w:rsidP="00B05A17">
            <w:pPr>
              <w:jc w:val="center"/>
              <w:rPr>
                <w:color w:val="A6A6A6" w:themeColor="background1" w:themeShade="A6"/>
              </w:rPr>
            </w:pPr>
            <w:r w:rsidRPr="00076956">
              <w:rPr>
                <w:color w:val="808080" w:themeColor="background1" w:themeShade="80"/>
              </w:rPr>
              <w:t>(Registre el número del acta)</w:t>
            </w:r>
          </w:p>
        </w:tc>
      </w:tr>
    </w:tbl>
    <w:p w14:paraId="0229E90F" w14:textId="77777777" w:rsidR="00B05A17" w:rsidRPr="003C4282" w:rsidRDefault="00B05A17" w:rsidP="00B05A17">
      <w:pPr>
        <w:pStyle w:val="Fuente"/>
        <w:spacing w:before="0" w:line="276" w:lineRule="auto"/>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4577"/>
        <w:gridCol w:w="1206"/>
        <w:gridCol w:w="1681"/>
      </w:tblGrid>
      <w:tr w:rsidR="00B05A17" w:rsidRPr="00F36164" w14:paraId="504649A9" w14:textId="77777777" w:rsidTr="00707EB3">
        <w:trPr>
          <w:trHeight w:val="617"/>
          <w:jc w:val="center"/>
        </w:trPr>
        <w:tc>
          <w:tcPr>
            <w:tcW w:w="1364" w:type="dxa"/>
          </w:tcPr>
          <w:p w14:paraId="1CDEA3EA" w14:textId="77777777" w:rsidR="00B05A17" w:rsidRPr="00ED4CEA" w:rsidRDefault="00B05A17" w:rsidP="00707EB3">
            <w:pPr>
              <w:pStyle w:val="Ttulo"/>
              <w:spacing w:before="120" w:after="120" w:line="360" w:lineRule="auto"/>
              <w:ind w:left="57" w:right="57"/>
              <w:jc w:val="left"/>
              <w:rPr>
                <w:rFonts w:ascii="Verdana" w:hAnsi="Verdana" w:cs="Arial"/>
                <w:bCs/>
                <w:szCs w:val="22"/>
              </w:rPr>
            </w:pPr>
            <w:r w:rsidRPr="00ED4CEA">
              <w:rPr>
                <w:rFonts w:ascii="Verdana" w:hAnsi="Verdana" w:cs="Arial"/>
                <w:bCs/>
                <w:szCs w:val="22"/>
              </w:rPr>
              <w:t>LUGAR:</w:t>
            </w:r>
          </w:p>
        </w:tc>
        <w:tc>
          <w:tcPr>
            <w:tcW w:w="4577" w:type="dxa"/>
          </w:tcPr>
          <w:p w14:paraId="24431C15" w14:textId="0C5A18C1" w:rsidR="00B05A17" w:rsidRPr="00ED4CEA" w:rsidRDefault="00B05A17" w:rsidP="00707EB3">
            <w:pPr>
              <w:pStyle w:val="Ttulo"/>
              <w:spacing w:before="120" w:after="120" w:line="360" w:lineRule="auto"/>
              <w:ind w:left="57" w:right="57"/>
              <w:jc w:val="both"/>
              <w:rPr>
                <w:rFonts w:ascii="Verdana" w:hAnsi="Verdana" w:cs="Arial"/>
                <w:b w:val="0"/>
                <w:szCs w:val="22"/>
              </w:rPr>
            </w:pPr>
            <w:r w:rsidRPr="004B40F5">
              <w:rPr>
                <w:rFonts w:eastAsiaTheme="minorHAnsi" w:cstheme="minorBidi"/>
                <w:b w:val="0"/>
                <w:color w:val="808080" w:themeColor="background1" w:themeShade="80"/>
                <w:sz w:val="24"/>
                <w:szCs w:val="22"/>
                <w:lang w:val="es-CO" w:eastAsia="en-US"/>
              </w:rPr>
              <w:t>Dirección, ciudad/municipio y departamento del sujeto auditado</w:t>
            </w:r>
            <w:r w:rsidRPr="0010018C">
              <w:rPr>
                <w:rFonts w:ascii="Verdana" w:hAnsi="Verdana" w:cs="Arial"/>
                <w:b w:val="0"/>
                <w:color w:val="808080" w:themeColor="background1" w:themeShade="80"/>
                <w:szCs w:val="22"/>
              </w:rPr>
              <w:t xml:space="preserve">. </w:t>
            </w:r>
          </w:p>
        </w:tc>
        <w:tc>
          <w:tcPr>
            <w:tcW w:w="1206" w:type="dxa"/>
            <w:vAlign w:val="center"/>
          </w:tcPr>
          <w:p w14:paraId="3D991477" w14:textId="77777777" w:rsidR="00B05A17" w:rsidRPr="00ED4CEA" w:rsidRDefault="00B05A17" w:rsidP="00707EB3">
            <w:pPr>
              <w:pStyle w:val="Ttulo"/>
              <w:spacing w:line="360" w:lineRule="auto"/>
              <w:jc w:val="left"/>
              <w:rPr>
                <w:rFonts w:ascii="Verdana" w:hAnsi="Verdana" w:cs="Arial"/>
                <w:bCs/>
                <w:szCs w:val="22"/>
              </w:rPr>
            </w:pPr>
            <w:r w:rsidRPr="00ED4CEA">
              <w:rPr>
                <w:rFonts w:ascii="Verdana" w:hAnsi="Verdana" w:cs="Arial"/>
                <w:bCs/>
                <w:szCs w:val="22"/>
              </w:rPr>
              <w:t>FECHA:</w:t>
            </w:r>
          </w:p>
        </w:tc>
        <w:tc>
          <w:tcPr>
            <w:tcW w:w="1681" w:type="dxa"/>
            <w:vAlign w:val="center"/>
          </w:tcPr>
          <w:p w14:paraId="34B2F3F8" w14:textId="77777777" w:rsidR="00B05A17" w:rsidRPr="00F36164" w:rsidRDefault="00B05A17" w:rsidP="00707EB3">
            <w:pPr>
              <w:pStyle w:val="Ttulo"/>
              <w:spacing w:line="360" w:lineRule="auto"/>
              <w:rPr>
                <w:rFonts w:cs="Arial"/>
                <w:b w:val="0"/>
                <w:color w:val="000000"/>
                <w:sz w:val="24"/>
                <w:szCs w:val="24"/>
              </w:rPr>
            </w:pPr>
            <w:proofErr w:type="spellStart"/>
            <w:r w:rsidRPr="000A6698">
              <w:rPr>
                <w:rFonts w:cs="Arial"/>
                <w:b w:val="0"/>
                <w:color w:val="808080" w:themeColor="background1" w:themeShade="80"/>
                <w:sz w:val="24"/>
                <w:szCs w:val="24"/>
              </w:rPr>
              <w:t>dd</w:t>
            </w:r>
            <w:proofErr w:type="spellEnd"/>
            <w:r w:rsidRPr="000A6698">
              <w:rPr>
                <w:rFonts w:cs="Arial"/>
                <w:b w:val="0"/>
                <w:color w:val="808080" w:themeColor="background1" w:themeShade="80"/>
                <w:sz w:val="24"/>
                <w:szCs w:val="24"/>
              </w:rPr>
              <w:t>/mm/</w:t>
            </w:r>
            <w:proofErr w:type="spellStart"/>
            <w:r w:rsidRPr="000A6698">
              <w:rPr>
                <w:rFonts w:cs="Arial"/>
                <w:b w:val="0"/>
                <w:color w:val="808080" w:themeColor="background1" w:themeShade="80"/>
                <w:sz w:val="24"/>
                <w:szCs w:val="24"/>
              </w:rPr>
              <w:t>aaaa</w:t>
            </w:r>
            <w:proofErr w:type="spellEnd"/>
          </w:p>
        </w:tc>
      </w:tr>
      <w:tr w:rsidR="00B05A17" w:rsidRPr="00F36164" w14:paraId="44FCCD84" w14:textId="77777777" w:rsidTr="00707EB3">
        <w:tblPrEx>
          <w:jc w:val="left"/>
        </w:tblPrEx>
        <w:tc>
          <w:tcPr>
            <w:tcW w:w="8828" w:type="dxa"/>
            <w:gridSpan w:val="4"/>
          </w:tcPr>
          <w:p w14:paraId="3384A6B2" w14:textId="77777777" w:rsidR="00B05A17" w:rsidRPr="0098433D" w:rsidRDefault="00B05A17" w:rsidP="00707EB3">
            <w:pPr>
              <w:pStyle w:val="Ttulo"/>
              <w:ind w:right="57"/>
              <w:contextualSpacing/>
              <w:jc w:val="left"/>
              <w:rPr>
                <w:rFonts w:ascii="Verdana" w:hAnsi="Verdana" w:cs="Arial"/>
                <w:bCs/>
                <w:color w:val="000000"/>
                <w:szCs w:val="22"/>
                <w:lang w:val="es-ES"/>
              </w:rPr>
            </w:pPr>
          </w:p>
          <w:p w14:paraId="472CB091" w14:textId="77777777" w:rsidR="00D05B94" w:rsidRPr="006F0B05" w:rsidRDefault="00D05B94" w:rsidP="00D05B94">
            <w:pPr>
              <w:pStyle w:val="Ttulo"/>
              <w:spacing w:line="276" w:lineRule="auto"/>
              <w:ind w:right="57"/>
              <w:contextualSpacing/>
              <w:jc w:val="left"/>
              <w:rPr>
                <w:rFonts w:cs="Arial"/>
                <w:bCs/>
                <w:color w:val="000000"/>
                <w:sz w:val="24"/>
                <w:szCs w:val="24"/>
                <w:lang w:val="es-ES"/>
              </w:rPr>
            </w:pPr>
            <w:r w:rsidRPr="006F0B05">
              <w:rPr>
                <w:rFonts w:cs="Arial"/>
                <w:bCs/>
                <w:color w:val="000000"/>
                <w:sz w:val="24"/>
                <w:szCs w:val="24"/>
                <w:lang w:val="es-ES"/>
              </w:rPr>
              <w:t xml:space="preserve">OBJETO DE LA ACCIÓN INSPECTIVA: </w:t>
            </w:r>
          </w:p>
          <w:p w14:paraId="187E75D5" w14:textId="77777777" w:rsidR="00D05B94" w:rsidRPr="006F0B05" w:rsidRDefault="00D05B94" w:rsidP="00D05B94">
            <w:pPr>
              <w:pStyle w:val="Ttulo"/>
              <w:spacing w:line="276" w:lineRule="auto"/>
              <w:ind w:right="57"/>
              <w:contextualSpacing/>
              <w:jc w:val="left"/>
              <w:rPr>
                <w:rFonts w:cs="Arial"/>
                <w:bCs/>
                <w:color w:val="000000"/>
                <w:sz w:val="24"/>
                <w:szCs w:val="24"/>
                <w:lang w:val="es-ES"/>
              </w:rPr>
            </w:pPr>
          </w:p>
          <w:p w14:paraId="467B26F9" w14:textId="79A9B15F" w:rsidR="00D05B94" w:rsidRPr="006F0B05" w:rsidRDefault="00D05B94" w:rsidP="00D05B94">
            <w:pPr>
              <w:pStyle w:val="NormalWeb"/>
              <w:shd w:val="clear" w:color="auto" w:fill="FFFFFF" w:themeFill="background1"/>
              <w:spacing w:before="0" w:beforeAutospacing="0" w:after="0" w:afterAutospacing="0" w:line="276" w:lineRule="auto"/>
              <w:contextualSpacing/>
              <w:jc w:val="both"/>
              <w:rPr>
                <w:rFonts w:ascii="Arial" w:hAnsi="Arial" w:cs="Arial"/>
                <w:color w:val="000000" w:themeColor="text1"/>
                <w:lang w:val="es-ES" w:eastAsia="es-ES"/>
              </w:rPr>
            </w:pPr>
            <w:r w:rsidRPr="006F0B05">
              <w:rPr>
                <w:rFonts w:ascii="Arial" w:hAnsi="Arial" w:cs="Arial"/>
                <w:color w:val="000000" w:themeColor="text1"/>
                <w:lang w:val="es-ES" w:eastAsia="es-ES"/>
              </w:rPr>
              <w:t>Realizar</w:t>
            </w:r>
            <w:r w:rsidR="00BC307E">
              <w:rPr>
                <w:rFonts w:ascii="Arial" w:hAnsi="Arial" w:cs="Arial"/>
                <w:color w:val="000000" w:themeColor="text1"/>
                <w:lang w:val="es-ES" w:eastAsia="es-ES"/>
              </w:rPr>
              <w:t xml:space="preserve"> la</w:t>
            </w:r>
            <w:r w:rsidRPr="006F0B05">
              <w:rPr>
                <w:rFonts w:ascii="Arial" w:hAnsi="Arial" w:cs="Arial"/>
                <w:color w:val="000000" w:themeColor="text1"/>
                <w:lang w:val="es-ES" w:eastAsia="es-ES"/>
              </w:rPr>
              <w:t xml:space="preserve"> </w:t>
            </w:r>
            <w:r w:rsidR="00BC307E">
              <w:rPr>
                <w:rFonts w:ascii="Arial" w:hAnsi="Arial" w:cs="Arial"/>
                <w:color w:val="000000" w:themeColor="text1"/>
                <w:lang w:val="es-ES" w:eastAsia="es-ES"/>
              </w:rPr>
              <w:t>Inspección Focalizada</w:t>
            </w:r>
            <w:r w:rsidRPr="006F0B05">
              <w:rPr>
                <w:rFonts w:ascii="Arial" w:hAnsi="Arial" w:cs="Arial"/>
                <w:color w:val="000000" w:themeColor="text1"/>
                <w:lang w:val="es-ES" w:eastAsia="es-ES"/>
              </w:rPr>
              <w:t xml:space="preserve"> </w:t>
            </w:r>
            <w:r>
              <w:rPr>
                <w:rFonts w:ascii="Arial" w:hAnsi="Arial" w:cs="Arial"/>
                <w:color w:val="000000" w:themeColor="text1"/>
                <w:lang w:val="es-ES" w:eastAsia="es-ES"/>
              </w:rPr>
              <w:t>para</w:t>
            </w:r>
            <w:r w:rsidRPr="006F0B05">
              <w:rPr>
                <w:rFonts w:ascii="Arial" w:hAnsi="Arial" w:cs="Arial"/>
                <w:color w:val="000000" w:themeColor="text1"/>
                <w:lang w:val="es-ES" w:eastAsia="es-ES"/>
              </w:rPr>
              <w:t xml:space="preserve"> la aplicación de la herramienta de verificación a la Dirección Territorial en Salud - DTS, con el propósito de evaluar las acciones de vigilancia, inspección y control realizadas frente a la garantía de la Interrupción Voluntaria del Embarazo – IVE en su jurisdicción. </w:t>
            </w:r>
          </w:p>
          <w:p w14:paraId="7D92F9F1" w14:textId="77777777" w:rsidR="00D05B94" w:rsidRPr="006F0B05" w:rsidRDefault="00D05B94" w:rsidP="00D05B94">
            <w:pPr>
              <w:pStyle w:val="NormalWeb"/>
              <w:shd w:val="clear" w:color="auto" w:fill="FFFFFF" w:themeFill="background1"/>
              <w:spacing w:before="0" w:beforeAutospacing="0" w:after="0" w:afterAutospacing="0" w:line="276" w:lineRule="auto"/>
              <w:contextualSpacing/>
              <w:jc w:val="both"/>
              <w:rPr>
                <w:rFonts w:ascii="Arial" w:hAnsi="Arial" w:cs="Arial"/>
                <w:b/>
                <w:color w:val="000000" w:themeColor="text1"/>
                <w:lang w:val="es-ES" w:eastAsia="es-ES_tradnl"/>
              </w:rPr>
            </w:pPr>
          </w:p>
          <w:p w14:paraId="0A8B8A71" w14:textId="77777777" w:rsidR="00D05B94" w:rsidRPr="006F0B05" w:rsidRDefault="00D05B94" w:rsidP="00D05B94">
            <w:pPr>
              <w:pStyle w:val="NormalWeb"/>
              <w:shd w:val="clear" w:color="auto" w:fill="FFFFFF" w:themeFill="background1"/>
              <w:spacing w:before="0" w:beforeAutospacing="0" w:after="0" w:afterAutospacing="0" w:line="276" w:lineRule="auto"/>
              <w:contextualSpacing/>
              <w:jc w:val="both"/>
              <w:rPr>
                <w:rFonts w:ascii="Arial" w:hAnsi="Arial" w:cs="Arial"/>
                <w:b/>
                <w:bCs/>
                <w:color w:val="000000"/>
                <w:lang w:val="es-ES" w:eastAsia="es-ES_tradnl"/>
              </w:rPr>
            </w:pPr>
            <w:r w:rsidRPr="006F0B05">
              <w:rPr>
                <w:rFonts w:ascii="Arial" w:hAnsi="Arial" w:cs="Arial"/>
                <w:b/>
                <w:bCs/>
                <w:color w:val="000000"/>
                <w:lang w:val="es-ES" w:eastAsia="es-ES_tradnl"/>
              </w:rPr>
              <w:t>APERTURA DE LA ACCIÓN INSPECTIVA:</w:t>
            </w:r>
          </w:p>
          <w:p w14:paraId="264AB624" w14:textId="77777777" w:rsidR="00D05B94" w:rsidRPr="006F0B05" w:rsidRDefault="00D05B94" w:rsidP="00D05B94">
            <w:pPr>
              <w:pStyle w:val="NormalWeb"/>
              <w:shd w:val="clear" w:color="auto" w:fill="FFFFFF" w:themeFill="background1"/>
              <w:spacing w:before="0" w:beforeAutospacing="0" w:after="0" w:afterAutospacing="0" w:line="276" w:lineRule="auto"/>
              <w:contextualSpacing/>
              <w:jc w:val="both"/>
              <w:rPr>
                <w:rFonts w:ascii="Arial" w:hAnsi="Arial" w:cs="Arial"/>
                <w:b/>
                <w:bCs/>
                <w:color w:val="000000"/>
                <w:lang w:val="es-ES" w:eastAsia="es-ES_tradnl"/>
              </w:rPr>
            </w:pPr>
          </w:p>
          <w:p w14:paraId="1B3A598C" w14:textId="33464935" w:rsidR="00D05B94" w:rsidRPr="006F0B05" w:rsidRDefault="00D05B94" w:rsidP="00D05B94">
            <w:pPr>
              <w:spacing w:before="0" w:after="0" w:line="276" w:lineRule="auto"/>
              <w:contextualSpacing/>
              <w:jc w:val="both"/>
              <w:rPr>
                <w:rFonts w:cs="Arial"/>
                <w:color w:val="000000" w:themeColor="text1"/>
                <w:szCs w:val="24"/>
              </w:rPr>
            </w:pPr>
            <w:r w:rsidRPr="006F0B05">
              <w:rPr>
                <w:rFonts w:cs="Arial"/>
                <w:color w:val="000000" w:themeColor="text1"/>
                <w:szCs w:val="24"/>
              </w:rPr>
              <w:t xml:space="preserve">En la ciudad de </w:t>
            </w:r>
            <w:r w:rsidRPr="006F0B05">
              <w:rPr>
                <w:rFonts w:cs="Arial"/>
                <w:color w:val="808080" w:themeColor="background1" w:themeShade="80"/>
                <w:szCs w:val="24"/>
              </w:rPr>
              <w:t xml:space="preserve">nombre de la ciudad </w:t>
            </w:r>
            <w:r w:rsidRPr="006F0B05">
              <w:rPr>
                <w:rFonts w:cs="Arial"/>
                <w:color w:val="000000" w:themeColor="text1"/>
                <w:szCs w:val="24"/>
              </w:rPr>
              <w:t xml:space="preserve">del departamento de </w:t>
            </w:r>
            <w:r w:rsidRPr="006F0B05">
              <w:rPr>
                <w:rFonts w:cs="Arial"/>
                <w:color w:val="808080" w:themeColor="background1" w:themeShade="80"/>
                <w:szCs w:val="24"/>
              </w:rPr>
              <w:t>nombre del departamento</w:t>
            </w:r>
            <w:r w:rsidRPr="006F0B05">
              <w:rPr>
                <w:rFonts w:cs="Arial"/>
                <w:color w:val="000000" w:themeColor="text1"/>
                <w:szCs w:val="24"/>
              </w:rPr>
              <w:t xml:space="preserve">, a los </w:t>
            </w:r>
            <w:r w:rsidRPr="006F0B05">
              <w:rPr>
                <w:rFonts w:cs="Arial"/>
                <w:color w:val="808080" w:themeColor="background1" w:themeShade="80"/>
                <w:szCs w:val="24"/>
              </w:rPr>
              <w:t>DD</w:t>
            </w:r>
            <w:r w:rsidRPr="006F0B05">
              <w:rPr>
                <w:rFonts w:cs="Arial"/>
                <w:color w:val="000000" w:themeColor="text1"/>
                <w:szCs w:val="24"/>
              </w:rPr>
              <w:t xml:space="preserve"> días del mes de </w:t>
            </w:r>
            <w:r w:rsidRPr="006F0B05">
              <w:rPr>
                <w:rFonts w:cs="Arial"/>
                <w:color w:val="808080" w:themeColor="background1" w:themeShade="80"/>
                <w:szCs w:val="24"/>
              </w:rPr>
              <w:t>mes en letras</w:t>
            </w:r>
            <w:r w:rsidRPr="006F0B05">
              <w:rPr>
                <w:rFonts w:cs="Arial"/>
                <w:color w:val="000000" w:themeColor="text1"/>
                <w:szCs w:val="24"/>
              </w:rPr>
              <w:t xml:space="preserve"> del año 20</w:t>
            </w:r>
            <w:r w:rsidRPr="006F0B05">
              <w:rPr>
                <w:rFonts w:cs="Arial"/>
                <w:color w:val="808080" w:themeColor="background1" w:themeShade="80"/>
                <w:szCs w:val="24"/>
              </w:rPr>
              <w:t>AA</w:t>
            </w:r>
            <w:r w:rsidRPr="006F0B05">
              <w:rPr>
                <w:rFonts w:cs="Arial"/>
                <w:color w:val="000000" w:themeColor="text1"/>
                <w:szCs w:val="24"/>
              </w:rPr>
              <w:t xml:space="preserve">, siendo las </w:t>
            </w:r>
            <w:r w:rsidRPr="006F0B05">
              <w:rPr>
                <w:rFonts w:cs="Arial"/>
                <w:color w:val="808080" w:themeColor="background1" w:themeShade="80"/>
                <w:szCs w:val="24"/>
              </w:rPr>
              <w:t>hora en número:</w:t>
            </w:r>
            <w:r w:rsidR="004B40F5">
              <w:rPr>
                <w:rFonts w:cs="Arial"/>
                <w:color w:val="808080" w:themeColor="background1" w:themeShade="80"/>
                <w:szCs w:val="24"/>
              </w:rPr>
              <w:t xml:space="preserve"> </w:t>
            </w:r>
            <w:r w:rsidRPr="006F0B05">
              <w:rPr>
                <w:rFonts w:cs="Arial"/>
                <w:color w:val="808080" w:themeColor="background1" w:themeShade="80"/>
                <w:szCs w:val="24"/>
              </w:rPr>
              <w:t>minutos en número (AM/PM)</w:t>
            </w:r>
            <w:r w:rsidRPr="006F0B05">
              <w:rPr>
                <w:rFonts w:cs="Arial"/>
                <w:color w:val="000000" w:themeColor="text1"/>
                <w:szCs w:val="24"/>
              </w:rPr>
              <w:t xml:space="preserve">, se da apertura a la </w:t>
            </w:r>
            <w:r w:rsidR="00BC307E">
              <w:rPr>
                <w:rFonts w:cs="Arial"/>
                <w:color w:val="000000" w:themeColor="text1"/>
                <w:szCs w:val="24"/>
              </w:rPr>
              <w:t>Inspección Focalizada</w:t>
            </w:r>
            <w:r w:rsidRPr="006F0B05">
              <w:rPr>
                <w:rFonts w:cs="Arial"/>
                <w:color w:val="000000" w:themeColor="text1"/>
                <w:szCs w:val="24"/>
              </w:rPr>
              <w:t xml:space="preserve"> de manera presencial en la Secretaría de Salud </w:t>
            </w:r>
            <w:r w:rsidRPr="006F0B05">
              <w:rPr>
                <w:rFonts w:cs="Arial"/>
                <w:color w:val="808080" w:themeColor="background1" w:themeShade="80"/>
                <w:szCs w:val="24"/>
              </w:rPr>
              <w:t>Departamental / Distrital</w:t>
            </w:r>
            <w:r w:rsidRPr="006F0B05">
              <w:rPr>
                <w:rFonts w:cs="Arial"/>
                <w:szCs w:val="24"/>
              </w:rPr>
              <w:t>,</w:t>
            </w:r>
            <w:r w:rsidRPr="006F0B05">
              <w:rPr>
                <w:rFonts w:cs="Arial"/>
                <w:color w:val="FF0000"/>
                <w:szCs w:val="24"/>
              </w:rPr>
              <w:t xml:space="preserve"> </w:t>
            </w:r>
            <w:r w:rsidRPr="006F0B05">
              <w:rPr>
                <w:rFonts w:cs="Arial"/>
                <w:color w:val="000000" w:themeColor="text1"/>
                <w:szCs w:val="24"/>
              </w:rPr>
              <w:t xml:space="preserve">identificada con NIT </w:t>
            </w:r>
            <w:r w:rsidRPr="006F0B05">
              <w:rPr>
                <w:rFonts w:cs="Arial"/>
                <w:color w:val="808080" w:themeColor="background1" w:themeShade="80"/>
                <w:szCs w:val="24"/>
              </w:rPr>
              <w:t xml:space="preserve">número del NIT </w:t>
            </w:r>
            <w:r w:rsidRPr="006F0B05">
              <w:rPr>
                <w:rFonts w:cs="Arial"/>
                <w:color w:val="000000" w:themeColor="text1"/>
                <w:szCs w:val="24"/>
              </w:rPr>
              <w:t xml:space="preserve">ubicada en la dirección </w:t>
            </w:r>
            <w:proofErr w:type="spellStart"/>
            <w:r w:rsidRPr="006F0B05">
              <w:rPr>
                <w:rFonts w:cs="Arial"/>
                <w:color w:val="808080" w:themeColor="background1" w:themeShade="80"/>
                <w:szCs w:val="24"/>
              </w:rPr>
              <w:t>dirección</w:t>
            </w:r>
            <w:proofErr w:type="spellEnd"/>
            <w:r w:rsidRPr="006F0B05">
              <w:rPr>
                <w:rFonts w:cs="Arial"/>
                <w:color w:val="808080" w:themeColor="background1" w:themeShade="80"/>
                <w:szCs w:val="24"/>
              </w:rPr>
              <w:t xml:space="preserve"> de la Secretaría de Salud</w:t>
            </w:r>
            <w:r w:rsidRPr="006F0B05">
              <w:rPr>
                <w:rFonts w:cs="Arial"/>
                <w:color w:val="000000" w:themeColor="text1"/>
                <w:szCs w:val="24"/>
              </w:rPr>
              <w:t>, con la participación de los siguientes funcionarios o contratistas por parte de la Superintendencia Nacional de Salud.</w:t>
            </w:r>
          </w:p>
          <w:p w14:paraId="288A1ADD" w14:textId="77777777" w:rsidR="00D05B94" w:rsidRPr="006F0B05" w:rsidRDefault="00D05B94" w:rsidP="00D05B94">
            <w:pPr>
              <w:spacing w:before="0" w:after="0" w:line="276" w:lineRule="auto"/>
              <w:contextualSpacing/>
              <w:jc w:val="both"/>
              <w:rPr>
                <w:rFonts w:cs="Arial"/>
                <w:color w:val="000000" w:themeColor="text1"/>
                <w:szCs w:val="24"/>
              </w:rPr>
            </w:pPr>
          </w:p>
          <w:p w14:paraId="5535634E" w14:textId="07721CCF" w:rsidR="00D05B94" w:rsidRPr="006F0B05" w:rsidRDefault="00D05B94" w:rsidP="00D05B94">
            <w:pPr>
              <w:spacing w:before="0" w:after="0" w:line="276" w:lineRule="auto"/>
              <w:jc w:val="both"/>
              <w:rPr>
                <w:rFonts w:cs="Arial"/>
                <w:color w:val="000000" w:themeColor="text1"/>
                <w:szCs w:val="24"/>
              </w:rPr>
            </w:pPr>
            <w:r w:rsidRPr="006F0B05">
              <w:rPr>
                <w:rFonts w:cs="Arial"/>
                <w:b/>
                <w:bCs/>
                <w:i/>
                <w:iCs/>
                <w:color w:val="808080" w:themeColor="background1" w:themeShade="80"/>
                <w:szCs w:val="24"/>
              </w:rPr>
              <w:t>(</w:t>
            </w:r>
            <w:r w:rsidRPr="006F0B05">
              <w:rPr>
                <w:rFonts w:cs="Arial"/>
                <w:b/>
                <w:i/>
                <w:color w:val="808080" w:themeColor="background1" w:themeShade="80"/>
                <w:szCs w:val="24"/>
              </w:rPr>
              <w:t>Diligenciar tabla con el nombre</w:t>
            </w:r>
            <w:r>
              <w:rPr>
                <w:rFonts w:cs="Arial"/>
                <w:b/>
                <w:i/>
                <w:color w:val="808080" w:themeColor="background1" w:themeShade="80"/>
                <w:szCs w:val="24"/>
              </w:rPr>
              <w:t xml:space="preserve"> y </w:t>
            </w:r>
            <w:r w:rsidRPr="006F0B05">
              <w:rPr>
                <w:rFonts w:cs="Arial"/>
                <w:b/>
                <w:i/>
                <w:color w:val="808080" w:themeColor="background1" w:themeShade="80"/>
                <w:szCs w:val="24"/>
              </w:rPr>
              <w:t>carg</w:t>
            </w:r>
            <w:r>
              <w:rPr>
                <w:rFonts w:cs="Arial"/>
                <w:b/>
                <w:i/>
                <w:color w:val="808080" w:themeColor="background1" w:themeShade="80"/>
                <w:szCs w:val="24"/>
              </w:rPr>
              <w:t>o</w:t>
            </w:r>
            <w:r w:rsidRPr="006F0B05">
              <w:rPr>
                <w:rFonts w:cs="Arial"/>
                <w:b/>
                <w:i/>
                <w:color w:val="808080" w:themeColor="background1" w:themeShade="80"/>
                <w:szCs w:val="24"/>
              </w:rPr>
              <w:t xml:space="preserve"> de los funcionarios o contratistas designados por la Superintendencia para realizar la </w:t>
            </w:r>
            <w:r w:rsidR="00BC307E">
              <w:rPr>
                <w:rFonts w:cs="Arial"/>
                <w:b/>
                <w:i/>
                <w:color w:val="808080" w:themeColor="background1" w:themeShade="80"/>
                <w:szCs w:val="24"/>
              </w:rPr>
              <w:t>inspección focalizada</w:t>
            </w:r>
            <w:r w:rsidRPr="006F0B05">
              <w:rPr>
                <w:rFonts w:cs="Arial"/>
                <w:b/>
                <w:i/>
                <w:color w:val="808080" w:themeColor="background1" w:themeShade="80"/>
                <w:szCs w:val="24"/>
              </w:rPr>
              <w:t>)</w:t>
            </w:r>
          </w:p>
          <w:p w14:paraId="50BD8593" w14:textId="77777777" w:rsidR="00B05A17" w:rsidRPr="0098433D" w:rsidRDefault="00B05A17" w:rsidP="00707EB3">
            <w:pPr>
              <w:spacing w:before="0" w:after="0" w:line="240" w:lineRule="auto"/>
              <w:contextualSpacing/>
              <w:jc w:val="both"/>
              <w:rPr>
                <w:rFonts w:cs="Arial"/>
                <w:color w:val="000000" w:themeColor="text1"/>
              </w:rPr>
            </w:pPr>
            <w:bookmarkStart w:id="0" w:name="_Hlk496012616"/>
          </w:p>
          <w:tbl>
            <w:tblPr>
              <w:tblStyle w:val="Tablaconcuadrcula"/>
              <w:tblW w:w="8624" w:type="dxa"/>
              <w:jc w:val="center"/>
              <w:tblLayout w:type="fixed"/>
              <w:tblLook w:val="04A0" w:firstRow="1" w:lastRow="0" w:firstColumn="1" w:lastColumn="0" w:noHBand="0" w:noVBand="1"/>
            </w:tblPr>
            <w:tblGrid>
              <w:gridCol w:w="4312"/>
              <w:gridCol w:w="4312"/>
            </w:tblGrid>
            <w:tr w:rsidR="00B05A17" w:rsidRPr="00367D89" w14:paraId="7BFA3E8D" w14:textId="77777777" w:rsidTr="00707EB3">
              <w:trPr>
                <w:trHeight w:val="556"/>
                <w:jc w:val="center"/>
              </w:trPr>
              <w:tc>
                <w:tcPr>
                  <w:tcW w:w="4312" w:type="dxa"/>
                </w:tcPr>
                <w:bookmarkEnd w:id="0"/>
                <w:p w14:paraId="11BA370A" w14:textId="77777777" w:rsidR="00B05A17" w:rsidRPr="00367D89" w:rsidRDefault="00B05A17" w:rsidP="00707EB3">
                  <w:pPr>
                    <w:spacing w:before="0" w:after="0" w:line="240" w:lineRule="auto"/>
                    <w:contextualSpacing/>
                    <w:jc w:val="center"/>
                    <w:rPr>
                      <w:rFonts w:cs="Arial"/>
                      <w:b/>
                      <w:sz w:val="22"/>
                    </w:rPr>
                  </w:pPr>
                  <w:commentRangeStart w:id="1"/>
                  <w:r w:rsidRPr="00367D89">
                    <w:rPr>
                      <w:rFonts w:cs="Arial"/>
                      <w:b/>
                      <w:sz w:val="22"/>
                    </w:rPr>
                    <w:t>Nombre funcionarios</w:t>
                  </w:r>
                  <w:commentRangeEnd w:id="1"/>
                  <w:r w:rsidRPr="00367D89">
                    <w:rPr>
                      <w:rStyle w:val="Refdecomentario"/>
                      <w:b/>
                      <w:sz w:val="22"/>
                      <w:szCs w:val="22"/>
                    </w:rPr>
                    <w:commentReference w:id="1"/>
                  </w:r>
                </w:p>
              </w:tc>
              <w:tc>
                <w:tcPr>
                  <w:tcW w:w="4312" w:type="dxa"/>
                </w:tcPr>
                <w:p w14:paraId="2FDE3DEB" w14:textId="77777777" w:rsidR="00B05A17" w:rsidRPr="00367D89" w:rsidRDefault="00B05A17" w:rsidP="00707EB3">
                  <w:pPr>
                    <w:spacing w:before="0" w:after="0" w:line="240" w:lineRule="auto"/>
                    <w:contextualSpacing/>
                    <w:jc w:val="center"/>
                    <w:rPr>
                      <w:rFonts w:cs="Arial"/>
                      <w:b/>
                      <w:sz w:val="22"/>
                    </w:rPr>
                  </w:pPr>
                  <w:r w:rsidRPr="00367D89">
                    <w:rPr>
                      <w:rFonts w:cs="Arial"/>
                      <w:b/>
                      <w:sz w:val="22"/>
                    </w:rPr>
                    <w:t>Cargo</w:t>
                  </w:r>
                </w:p>
              </w:tc>
            </w:tr>
            <w:tr w:rsidR="00B05A17" w:rsidRPr="00367D89" w14:paraId="0156BA6B" w14:textId="77777777" w:rsidTr="00707EB3">
              <w:trPr>
                <w:trHeight w:val="495"/>
                <w:jc w:val="center"/>
              </w:trPr>
              <w:tc>
                <w:tcPr>
                  <w:tcW w:w="4312" w:type="dxa"/>
                </w:tcPr>
                <w:p w14:paraId="4A3EB3CA" w14:textId="77777777" w:rsidR="00B05A17" w:rsidRPr="00367D89" w:rsidRDefault="00B05A17" w:rsidP="00707EB3">
                  <w:pPr>
                    <w:spacing w:before="0" w:after="0" w:line="240" w:lineRule="auto"/>
                    <w:contextualSpacing/>
                    <w:rPr>
                      <w:rFonts w:cs="Arial"/>
                      <w:sz w:val="22"/>
                    </w:rPr>
                  </w:pPr>
                </w:p>
              </w:tc>
              <w:tc>
                <w:tcPr>
                  <w:tcW w:w="4312" w:type="dxa"/>
                </w:tcPr>
                <w:p w14:paraId="62841CEE" w14:textId="77777777" w:rsidR="00B05A17" w:rsidRPr="00367D89" w:rsidRDefault="00B05A17" w:rsidP="00707EB3">
                  <w:pPr>
                    <w:spacing w:before="0" w:after="0" w:line="240" w:lineRule="auto"/>
                    <w:contextualSpacing/>
                    <w:rPr>
                      <w:rFonts w:cs="Arial"/>
                      <w:sz w:val="22"/>
                    </w:rPr>
                  </w:pPr>
                </w:p>
              </w:tc>
            </w:tr>
            <w:tr w:rsidR="00B05A17" w:rsidRPr="00367D89" w14:paraId="3F502C04" w14:textId="77777777" w:rsidTr="00707EB3">
              <w:trPr>
                <w:trHeight w:val="502"/>
                <w:jc w:val="center"/>
              </w:trPr>
              <w:tc>
                <w:tcPr>
                  <w:tcW w:w="4312" w:type="dxa"/>
                </w:tcPr>
                <w:p w14:paraId="773A5A2F" w14:textId="77777777" w:rsidR="00B05A17" w:rsidRPr="00367D89" w:rsidRDefault="00B05A17" w:rsidP="00707EB3">
                  <w:pPr>
                    <w:spacing w:before="0" w:after="0" w:line="240" w:lineRule="auto"/>
                    <w:contextualSpacing/>
                    <w:rPr>
                      <w:rFonts w:cs="Arial"/>
                      <w:sz w:val="22"/>
                    </w:rPr>
                  </w:pPr>
                </w:p>
              </w:tc>
              <w:tc>
                <w:tcPr>
                  <w:tcW w:w="4312" w:type="dxa"/>
                </w:tcPr>
                <w:p w14:paraId="14A2A993" w14:textId="77777777" w:rsidR="00B05A17" w:rsidRPr="00367D89" w:rsidRDefault="00B05A17" w:rsidP="00707EB3">
                  <w:pPr>
                    <w:spacing w:before="0" w:after="0" w:line="240" w:lineRule="auto"/>
                    <w:contextualSpacing/>
                    <w:rPr>
                      <w:rFonts w:cs="Arial"/>
                      <w:sz w:val="22"/>
                    </w:rPr>
                  </w:pPr>
                </w:p>
              </w:tc>
            </w:tr>
          </w:tbl>
          <w:p w14:paraId="01B57777" w14:textId="77777777" w:rsidR="00B05A17" w:rsidRPr="0098433D" w:rsidRDefault="00B05A17" w:rsidP="00707EB3">
            <w:pPr>
              <w:spacing w:before="0" w:after="0" w:line="240" w:lineRule="auto"/>
              <w:contextualSpacing/>
              <w:jc w:val="both"/>
              <w:rPr>
                <w:rFonts w:cs="Arial"/>
              </w:rPr>
            </w:pPr>
          </w:p>
          <w:p w14:paraId="1B8330E0" w14:textId="0D2DF35A" w:rsidR="00151C7E" w:rsidRPr="006F0B05" w:rsidRDefault="00151C7E" w:rsidP="00151C7E">
            <w:pPr>
              <w:spacing w:before="0" w:after="0" w:line="276" w:lineRule="auto"/>
              <w:contextualSpacing/>
              <w:jc w:val="both"/>
              <w:rPr>
                <w:rFonts w:cs="Arial"/>
                <w:szCs w:val="24"/>
              </w:rPr>
            </w:pPr>
            <w:r w:rsidRPr="006F0B05">
              <w:rPr>
                <w:rFonts w:cs="Arial"/>
                <w:szCs w:val="24"/>
              </w:rPr>
              <w:lastRenderedPageBreak/>
              <w:t xml:space="preserve">Así las cosas, se </w:t>
            </w:r>
            <w:r w:rsidR="00BC307E" w:rsidRPr="006F0B05">
              <w:rPr>
                <w:rFonts w:cs="Arial"/>
                <w:szCs w:val="24"/>
              </w:rPr>
              <w:t>inicia</w:t>
            </w:r>
            <w:r w:rsidRPr="007801DC">
              <w:rPr>
                <w:rFonts w:cs="Arial"/>
                <w:szCs w:val="24"/>
              </w:rPr>
              <w:t xml:space="preserve"> la </w:t>
            </w:r>
            <w:r w:rsidR="00BC307E">
              <w:rPr>
                <w:rFonts w:cs="Arial"/>
                <w:szCs w:val="24"/>
              </w:rPr>
              <w:t>inspección focalizada</w:t>
            </w:r>
            <w:r w:rsidRPr="006F0B05">
              <w:rPr>
                <w:rFonts w:cs="Arial"/>
                <w:szCs w:val="24"/>
              </w:rPr>
              <w:t xml:space="preserve"> en el despacho del </w:t>
            </w:r>
            <w:proofErr w:type="gramStart"/>
            <w:r w:rsidRPr="006F0B05">
              <w:rPr>
                <w:rFonts w:cs="Arial"/>
                <w:szCs w:val="24"/>
              </w:rPr>
              <w:t>Secretario</w:t>
            </w:r>
            <w:proofErr w:type="gramEnd"/>
            <w:r w:rsidRPr="006F0B05">
              <w:rPr>
                <w:rFonts w:cs="Arial"/>
                <w:color w:val="808080" w:themeColor="background1" w:themeShade="80"/>
                <w:szCs w:val="24"/>
              </w:rPr>
              <w:t xml:space="preserve">(a) </w:t>
            </w:r>
            <w:r w:rsidRPr="006F0B05">
              <w:rPr>
                <w:rFonts w:cs="Arial"/>
                <w:szCs w:val="24"/>
              </w:rPr>
              <w:t xml:space="preserve">de Salud </w:t>
            </w:r>
            <w:r w:rsidRPr="006F0B05">
              <w:rPr>
                <w:rFonts w:cs="Arial"/>
                <w:color w:val="808080" w:themeColor="background1" w:themeShade="80"/>
                <w:szCs w:val="24"/>
              </w:rPr>
              <w:t>Departamental / Distrital</w:t>
            </w:r>
            <w:r w:rsidRPr="006F0B05">
              <w:rPr>
                <w:rFonts w:cs="Arial"/>
                <w:szCs w:val="24"/>
              </w:rPr>
              <w:t>,</w:t>
            </w:r>
            <w:r w:rsidRPr="006F0B05">
              <w:rPr>
                <w:rFonts w:cs="Arial"/>
                <w:color w:val="FF0000"/>
                <w:szCs w:val="24"/>
              </w:rPr>
              <w:t xml:space="preserve"> </w:t>
            </w:r>
            <w:proofErr w:type="spellStart"/>
            <w:r w:rsidRPr="006F0B05">
              <w:rPr>
                <w:rFonts w:cs="Arial"/>
                <w:szCs w:val="24"/>
              </w:rPr>
              <w:t>Dr</w:t>
            </w:r>
            <w:proofErr w:type="spellEnd"/>
            <w:r w:rsidRPr="006F0B05">
              <w:rPr>
                <w:rFonts w:cs="Arial"/>
                <w:color w:val="808080" w:themeColor="background1" w:themeShade="80"/>
                <w:szCs w:val="24"/>
              </w:rPr>
              <w:t>(a)</w:t>
            </w:r>
            <w:r w:rsidRPr="006F0B05">
              <w:rPr>
                <w:rFonts w:cs="Arial"/>
                <w:szCs w:val="24"/>
              </w:rPr>
              <w:t xml:space="preserve">.  </w:t>
            </w:r>
            <w:r w:rsidRPr="006F0B05">
              <w:rPr>
                <w:rFonts w:cs="Arial"/>
                <w:color w:val="808080" w:themeColor="background1" w:themeShade="80"/>
                <w:szCs w:val="24"/>
              </w:rPr>
              <w:t xml:space="preserve">nombre del </w:t>
            </w:r>
            <w:proofErr w:type="gramStart"/>
            <w:r w:rsidRPr="006F0B05">
              <w:rPr>
                <w:rFonts w:cs="Arial"/>
                <w:color w:val="808080" w:themeColor="background1" w:themeShade="80"/>
                <w:szCs w:val="24"/>
              </w:rPr>
              <w:t>Secretario</w:t>
            </w:r>
            <w:proofErr w:type="gramEnd"/>
            <w:r w:rsidRPr="006F0B05">
              <w:rPr>
                <w:rFonts w:cs="Arial"/>
                <w:color w:val="808080" w:themeColor="background1" w:themeShade="80"/>
                <w:szCs w:val="24"/>
              </w:rPr>
              <w:t xml:space="preserve"> o </w:t>
            </w:r>
            <w:proofErr w:type="gramStart"/>
            <w:r w:rsidRPr="006F0B05">
              <w:rPr>
                <w:rFonts w:cs="Arial"/>
                <w:color w:val="808080" w:themeColor="background1" w:themeShade="80"/>
                <w:szCs w:val="24"/>
              </w:rPr>
              <w:t>Secretaria</w:t>
            </w:r>
            <w:proofErr w:type="gramEnd"/>
            <w:r w:rsidRPr="006F0B05">
              <w:rPr>
                <w:rFonts w:cs="Arial"/>
                <w:color w:val="808080" w:themeColor="background1" w:themeShade="80"/>
                <w:szCs w:val="24"/>
              </w:rPr>
              <w:t xml:space="preserve"> de salud</w:t>
            </w:r>
            <w:r w:rsidRPr="006F0B05">
              <w:rPr>
                <w:rFonts w:cs="Arial"/>
                <w:szCs w:val="24"/>
              </w:rPr>
              <w:t xml:space="preserve">, dando lectura del oficio con radicado número </w:t>
            </w:r>
            <w:proofErr w:type="spellStart"/>
            <w:r w:rsidRPr="006F0B05">
              <w:rPr>
                <w:rFonts w:cs="Arial"/>
                <w:color w:val="808080" w:themeColor="background1" w:themeShade="80"/>
                <w:szCs w:val="24"/>
              </w:rPr>
              <w:t>número</w:t>
            </w:r>
            <w:proofErr w:type="spellEnd"/>
            <w:r w:rsidRPr="006F0B05">
              <w:rPr>
                <w:rFonts w:cs="Arial"/>
                <w:color w:val="808080" w:themeColor="background1" w:themeShade="80"/>
                <w:szCs w:val="24"/>
              </w:rPr>
              <w:t xml:space="preserve"> del radicado</w:t>
            </w:r>
            <w:r w:rsidRPr="006F0B05">
              <w:rPr>
                <w:rFonts w:cs="Arial"/>
                <w:szCs w:val="24"/>
              </w:rPr>
              <w:t xml:space="preserve">, del día </w:t>
            </w:r>
            <w:r w:rsidRPr="006F0B05">
              <w:rPr>
                <w:rFonts w:cs="Arial"/>
                <w:color w:val="808080" w:themeColor="background1" w:themeShade="80"/>
                <w:szCs w:val="24"/>
              </w:rPr>
              <w:t>DD</w:t>
            </w:r>
            <w:r w:rsidRPr="006F0B05">
              <w:rPr>
                <w:rFonts w:cs="Arial"/>
                <w:szCs w:val="24"/>
              </w:rPr>
              <w:t xml:space="preserve"> y mes </w:t>
            </w:r>
            <w:proofErr w:type="spellStart"/>
            <w:r w:rsidRPr="006F0B05">
              <w:rPr>
                <w:rFonts w:cs="Arial"/>
                <w:color w:val="808080" w:themeColor="background1" w:themeShade="80"/>
                <w:szCs w:val="24"/>
              </w:rPr>
              <w:t>mes</w:t>
            </w:r>
            <w:proofErr w:type="spellEnd"/>
            <w:r w:rsidRPr="006F0B05">
              <w:rPr>
                <w:rFonts w:cs="Arial"/>
                <w:color w:val="808080" w:themeColor="background1" w:themeShade="80"/>
                <w:szCs w:val="24"/>
              </w:rPr>
              <w:t xml:space="preserve"> en letra</w:t>
            </w:r>
            <w:r w:rsidR="00BC307E">
              <w:rPr>
                <w:rFonts w:cs="Arial"/>
                <w:color w:val="808080" w:themeColor="background1" w:themeShade="80"/>
                <w:szCs w:val="24"/>
              </w:rPr>
              <w:t>s</w:t>
            </w:r>
            <w:r w:rsidRPr="006F0B05">
              <w:rPr>
                <w:rFonts w:cs="Arial"/>
                <w:szCs w:val="24"/>
              </w:rPr>
              <w:t xml:space="preserve"> de 20</w:t>
            </w:r>
            <w:r w:rsidRPr="006F0B05">
              <w:rPr>
                <w:rFonts w:cs="Arial"/>
                <w:color w:val="808080" w:themeColor="background1" w:themeShade="80"/>
                <w:szCs w:val="24"/>
              </w:rPr>
              <w:t>AA</w:t>
            </w:r>
            <w:r w:rsidRPr="006F0B05">
              <w:rPr>
                <w:rFonts w:cs="Arial"/>
                <w:szCs w:val="24"/>
              </w:rPr>
              <w:t xml:space="preserve">, por el cual se comunica el motivo de la acción a desarrollar, respecto de las responsabilidades de la entidad territorial frente a la </w:t>
            </w:r>
            <w:r w:rsidRPr="006F0B05">
              <w:rPr>
                <w:rFonts w:cs="Arial"/>
                <w:color w:val="000000" w:themeColor="text1"/>
                <w:szCs w:val="24"/>
                <w:lang w:val="es-ES" w:eastAsia="es-ES"/>
              </w:rPr>
              <w:t>vigilancia, inspección y control</w:t>
            </w:r>
            <w:r w:rsidRPr="006F0B05">
              <w:rPr>
                <w:rFonts w:cs="Arial"/>
                <w:szCs w:val="24"/>
              </w:rPr>
              <w:t xml:space="preserve"> de la </w:t>
            </w:r>
            <w:r w:rsidRPr="006F0B05">
              <w:rPr>
                <w:rFonts w:cs="Arial"/>
                <w:color w:val="000000" w:themeColor="text1"/>
                <w:szCs w:val="24"/>
                <w:lang w:val="es-ES" w:eastAsia="es-ES"/>
              </w:rPr>
              <w:t>garantía de la Interrupción Voluntaria del Embarazo – IVE</w:t>
            </w:r>
            <w:r w:rsidRPr="006F0B05">
              <w:rPr>
                <w:rFonts w:cs="Arial"/>
                <w:szCs w:val="24"/>
              </w:rPr>
              <w:t xml:space="preserve"> en su jurisdicción, para lo cual se aplicará una herramienta de verificación, evaluando los siguientes parámetros:</w:t>
            </w:r>
          </w:p>
          <w:p w14:paraId="12F6B2E8" w14:textId="77777777" w:rsidR="00151C7E" w:rsidRPr="006F0B05" w:rsidRDefault="00151C7E" w:rsidP="00151C7E">
            <w:pPr>
              <w:spacing w:before="0" w:after="0" w:line="276" w:lineRule="auto"/>
              <w:contextualSpacing/>
              <w:jc w:val="both"/>
              <w:rPr>
                <w:rFonts w:cs="Arial"/>
                <w:szCs w:val="24"/>
              </w:rPr>
            </w:pPr>
          </w:p>
          <w:p w14:paraId="1D3A243B" w14:textId="77777777" w:rsidR="00151C7E" w:rsidRPr="006F0B05" w:rsidRDefault="00151C7E" w:rsidP="00151C7E">
            <w:pPr>
              <w:spacing w:before="0" w:after="0" w:line="276" w:lineRule="auto"/>
              <w:contextualSpacing/>
              <w:jc w:val="center"/>
              <w:rPr>
                <w:rFonts w:cs="Arial"/>
                <w:b/>
                <w:bCs/>
                <w:szCs w:val="24"/>
              </w:rPr>
            </w:pPr>
            <w:r w:rsidRPr="006F0B05">
              <w:rPr>
                <w:rFonts w:cs="Arial"/>
                <w:b/>
                <w:bCs/>
                <w:szCs w:val="24"/>
              </w:rPr>
              <w:t xml:space="preserve">Parámetros aplicables </w:t>
            </w:r>
          </w:p>
          <w:p w14:paraId="72098371" w14:textId="77777777" w:rsidR="00B05A17" w:rsidRPr="0098433D" w:rsidRDefault="00B05A17" w:rsidP="00707EB3">
            <w:pPr>
              <w:spacing w:before="0" w:after="0" w:line="240" w:lineRule="auto"/>
              <w:contextualSpacing/>
              <w:jc w:val="center"/>
              <w:rPr>
                <w:rFonts w:cs="Arial"/>
                <w:b/>
                <w:b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
              <w:gridCol w:w="3180"/>
              <w:gridCol w:w="1701"/>
              <w:gridCol w:w="1701"/>
              <w:gridCol w:w="1843"/>
            </w:tblGrid>
            <w:tr w:rsidR="00B05A17" w:rsidRPr="00A64214" w14:paraId="049ABDD6" w14:textId="77777777" w:rsidTr="00707EB3">
              <w:trPr>
                <w:trHeight w:val="615"/>
                <w:tblHeader/>
                <w:jc w:val="center"/>
              </w:trPr>
              <w:tc>
                <w:tcPr>
                  <w:tcW w:w="3421" w:type="dxa"/>
                  <w:gridSpan w:val="2"/>
                  <w:noWrap/>
                  <w:vAlign w:val="center"/>
                  <w:hideMark/>
                </w:tcPr>
                <w:p w14:paraId="72048AAC"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Parámetros</w:t>
                  </w:r>
                </w:p>
              </w:tc>
              <w:tc>
                <w:tcPr>
                  <w:tcW w:w="1701" w:type="dxa"/>
                  <w:vAlign w:val="center"/>
                  <w:hideMark/>
                </w:tcPr>
                <w:p w14:paraId="3348D5CE"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Número de Criterios</w:t>
                  </w:r>
                </w:p>
              </w:tc>
              <w:tc>
                <w:tcPr>
                  <w:tcW w:w="1701" w:type="dxa"/>
                  <w:vAlign w:val="center"/>
                  <w:hideMark/>
                </w:tcPr>
                <w:p w14:paraId="0C3F1A47"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Valor porcentual por Criterio</w:t>
                  </w:r>
                </w:p>
              </w:tc>
              <w:tc>
                <w:tcPr>
                  <w:tcW w:w="1843" w:type="dxa"/>
                  <w:vAlign w:val="center"/>
                  <w:hideMark/>
                </w:tcPr>
                <w:p w14:paraId="6BDFD27C"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proofErr w:type="gramStart"/>
                  <w:r w:rsidRPr="00A64214">
                    <w:rPr>
                      <w:rFonts w:eastAsia="Times New Roman" w:cs="Arial"/>
                      <w:b/>
                      <w:color w:val="000000"/>
                      <w:sz w:val="20"/>
                      <w:szCs w:val="20"/>
                      <w:lang w:eastAsia="es-CO"/>
                    </w:rPr>
                    <w:t>Total</w:t>
                  </w:r>
                  <w:proofErr w:type="gramEnd"/>
                  <w:r w:rsidRPr="00A64214">
                    <w:rPr>
                      <w:rFonts w:eastAsia="Times New Roman" w:cs="Arial"/>
                      <w:b/>
                      <w:color w:val="000000"/>
                      <w:sz w:val="20"/>
                      <w:szCs w:val="20"/>
                      <w:lang w:eastAsia="es-CO"/>
                    </w:rPr>
                    <w:t xml:space="preserve"> Porcentual del Parámetro</w:t>
                  </w:r>
                </w:p>
              </w:tc>
            </w:tr>
            <w:tr w:rsidR="00B05A17" w:rsidRPr="00A64214" w14:paraId="391CBD68" w14:textId="77777777" w:rsidTr="00707EB3">
              <w:trPr>
                <w:trHeight w:val="900"/>
                <w:jc w:val="center"/>
              </w:trPr>
              <w:tc>
                <w:tcPr>
                  <w:tcW w:w="255" w:type="dxa"/>
                  <w:noWrap/>
                  <w:vAlign w:val="center"/>
                  <w:hideMark/>
                </w:tcPr>
                <w:p w14:paraId="3F7165AD"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1</w:t>
                  </w:r>
                </w:p>
              </w:tc>
              <w:tc>
                <w:tcPr>
                  <w:tcW w:w="3180" w:type="dxa"/>
                  <w:vAlign w:val="center"/>
                  <w:hideMark/>
                </w:tcPr>
                <w:p w14:paraId="7C567AC1" w14:textId="77777777" w:rsidR="00B05A17" w:rsidRPr="00A64214" w:rsidRDefault="00B05A17" w:rsidP="00707EB3">
                  <w:pPr>
                    <w:spacing w:before="0" w:after="0" w:line="240" w:lineRule="auto"/>
                    <w:contextualSpacing/>
                    <w:jc w:val="both"/>
                    <w:rPr>
                      <w:rFonts w:eastAsia="Times New Roman" w:cs="Arial"/>
                      <w:color w:val="000000"/>
                      <w:sz w:val="20"/>
                      <w:szCs w:val="20"/>
                      <w:lang w:eastAsia="es-CO"/>
                    </w:rPr>
                  </w:pPr>
                  <w:r w:rsidRPr="00A64214">
                    <w:rPr>
                      <w:rFonts w:eastAsia="Times New Roman" w:cs="Arial"/>
                      <w:b/>
                      <w:color w:val="000000"/>
                      <w:sz w:val="20"/>
                      <w:szCs w:val="20"/>
                      <w:lang w:eastAsia="es-CO"/>
                    </w:rPr>
                    <w:t>Parámetro 1.</w:t>
                  </w:r>
                  <w:r w:rsidRPr="00A64214">
                    <w:rPr>
                      <w:rFonts w:eastAsia="Times New Roman" w:cs="Arial"/>
                      <w:color w:val="000000"/>
                      <w:sz w:val="20"/>
                      <w:szCs w:val="20"/>
                      <w:lang w:eastAsia="es-CO"/>
                    </w:rPr>
                    <w:t xml:space="preserve"> Gestión de la Entidad Territorial.</w:t>
                  </w:r>
                </w:p>
              </w:tc>
              <w:tc>
                <w:tcPr>
                  <w:tcW w:w="1701" w:type="dxa"/>
                  <w:vAlign w:val="center"/>
                  <w:hideMark/>
                </w:tcPr>
                <w:p w14:paraId="1CB0474F"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10</w:t>
                  </w:r>
                </w:p>
              </w:tc>
              <w:tc>
                <w:tcPr>
                  <w:tcW w:w="1701" w:type="dxa"/>
                  <w:vAlign w:val="center"/>
                  <w:hideMark/>
                </w:tcPr>
                <w:p w14:paraId="31AC6BA8"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3,70%</w:t>
                  </w:r>
                </w:p>
              </w:tc>
              <w:tc>
                <w:tcPr>
                  <w:tcW w:w="1843" w:type="dxa"/>
                  <w:vAlign w:val="center"/>
                  <w:hideMark/>
                </w:tcPr>
                <w:p w14:paraId="3EAACA39"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37,04%</w:t>
                  </w:r>
                </w:p>
              </w:tc>
            </w:tr>
            <w:tr w:rsidR="00B05A17" w:rsidRPr="00A64214" w14:paraId="2FCC9913" w14:textId="77777777" w:rsidTr="00707EB3">
              <w:trPr>
                <w:trHeight w:val="900"/>
                <w:jc w:val="center"/>
              </w:trPr>
              <w:tc>
                <w:tcPr>
                  <w:tcW w:w="255" w:type="dxa"/>
                  <w:noWrap/>
                  <w:vAlign w:val="center"/>
                  <w:hideMark/>
                </w:tcPr>
                <w:p w14:paraId="1E9B0A50"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2</w:t>
                  </w:r>
                </w:p>
              </w:tc>
              <w:tc>
                <w:tcPr>
                  <w:tcW w:w="3180" w:type="dxa"/>
                  <w:vAlign w:val="center"/>
                  <w:hideMark/>
                </w:tcPr>
                <w:p w14:paraId="3CE75623" w14:textId="77777777" w:rsidR="00B05A17" w:rsidRPr="00A64214" w:rsidRDefault="00B05A17" w:rsidP="00707EB3">
                  <w:pPr>
                    <w:spacing w:before="0" w:after="0" w:line="240" w:lineRule="auto"/>
                    <w:contextualSpacing/>
                    <w:jc w:val="both"/>
                    <w:rPr>
                      <w:rFonts w:eastAsia="Times New Roman" w:cs="Arial"/>
                      <w:color w:val="000000"/>
                      <w:sz w:val="20"/>
                      <w:szCs w:val="20"/>
                      <w:lang w:eastAsia="es-CO"/>
                    </w:rPr>
                  </w:pPr>
                  <w:r w:rsidRPr="00A64214">
                    <w:rPr>
                      <w:rFonts w:eastAsia="Times New Roman" w:cs="Arial"/>
                      <w:b/>
                      <w:color w:val="000000"/>
                      <w:sz w:val="20"/>
                      <w:szCs w:val="20"/>
                      <w:lang w:eastAsia="es-CO"/>
                    </w:rPr>
                    <w:t>Parámetro 2.</w:t>
                  </w:r>
                  <w:r w:rsidRPr="00A64214">
                    <w:rPr>
                      <w:rFonts w:eastAsia="Times New Roman" w:cs="Arial"/>
                      <w:color w:val="000000"/>
                      <w:sz w:val="20"/>
                      <w:szCs w:val="20"/>
                      <w:lang w:eastAsia="es-CO"/>
                    </w:rPr>
                    <w:t xml:space="preserve"> Acciones de Inspección, Vigilancia a las Entidades de Aseguramiento en Salud.</w:t>
                  </w:r>
                </w:p>
              </w:tc>
              <w:tc>
                <w:tcPr>
                  <w:tcW w:w="1701" w:type="dxa"/>
                  <w:vAlign w:val="center"/>
                  <w:hideMark/>
                </w:tcPr>
                <w:p w14:paraId="11E0439A"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8</w:t>
                  </w:r>
                </w:p>
              </w:tc>
              <w:tc>
                <w:tcPr>
                  <w:tcW w:w="1701" w:type="dxa"/>
                  <w:vAlign w:val="center"/>
                  <w:hideMark/>
                </w:tcPr>
                <w:p w14:paraId="638E17FA"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3,70%</w:t>
                  </w:r>
                </w:p>
              </w:tc>
              <w:tc>
                <w:tcPr>
                  <w:tcW w:w="1843" w:type="dxa"/>
                  <w:vAlign w:val="center"/>
                  <w:hideMark/>
                </w:tcPr>
                <w:p w14:paraId="5D3AB207"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29,63%</w:t>
                  </w:r>
                </w:p>
              </w:tc>
            </w:tr>
            <w:tr w:rsidR="00B05A17" w:rsidRPr="00A64214" w14:paraId="6C6DD3BB" w14:textId="77777777" w:rsidTr="00707EB3">
              <w:trPr>
                <w:trHeight w:val="900"/>
                <w:jc w:val="center"/>
              </w:trPr>
              <w:tc>
                <w:tcPr>
                  <w:tcW w:w="255" w:type="dxa"/>
                  <w:noWrap/>
                  <w:vAlign w:val="center"/>
                  <w:hideMark/>
                </w:tcPr>
                <w:p w14:paraId="57194245"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3</w:t>
                  </w:r>
                </w:p>
              </w:tc>
              <w:tc>
                <w:tcPr>
                  <w:tcW w:w="3180" w:type="dxa"/>
                  <w:vAlign w:val="center"/>
                  <w:hideMark/>
                </w:tcPr>
                <w:p w14:paraId="7F103F22" w14:textId="77777777" w:rsidR="00B05A17" w:rsidRPr="00A64214" w:rsidRDefault="00B05A17" w:rsidP="00707EB3">
                  <w:pPr>
                    <w:spacing w:before="0" w:after="0" w:line="240" w:lineRule="auto"/>
                    <w:contextualSpacing/>
                    <w:jc w:val="both"/>
                    <w:rPr>
                      <w:rFonts w:eastAsia="Times New Roman" w:cs="Arial"/>
                      <w:color w:val="000000"/>
                      <w:sz w:val="20"/>
                      <w:szCs w:val="20"/>
                      <w:lang w:eastAsia="es-CO"/>
                    </w:rPr>
                  </w:pPr>
                  <w:r w:rsidRPr="00A64214">
                    <w:rPr>
                      <w:rFonts w:eastAsia="Times New Roman" w:cs="Arial"/>
                      <w:b/>
                      <w:color w:val="000000"/>
                      <w:sz w:val="20"/>
                      <w:szCs w:val="20"/>
                      <w:lang w:eastAsia="es-CO"/>
                    </w:rPr>
                    <w:t>Parámetro 3.</w:t>
                  </w:r>
                  <w:r w:rsidRPr="00A64214">
                    <w:rPr>
                      <w:rFonts w:eastAsia="Times New Roman" w:cs="Arial"/>
                      <w:color w:val="000000"/>
                      <w:sz w:val="20"/>
                      <w:szCs w:val="20"/>
                      <w:lang w:eastAsia="es-CO"/>
                    </w:rPr>
                    <w:t xml:space="preserve"> Acciones de Inspección, Vigilancia y Control a los Prestadores de Servicios de Salud.</w:t>
                  </w:r>
                </w:p>
              </w:tc>
              <w:tc>
                <w:tcPr>
                  <w:tcW w:w="1701" w:type="dxa"/>
                  <w:vAlign w:val="center"/>
                  <w:hideMark/>
                </w:tcPr>
                <w:p w14:paraId="2D52F509"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9</w:t>
                  </w:r>
                </w:p>
              </w:tc>
              <w:tc>
                <w:tcPr>
                  <w:tcW w:w="1701" w:type="dxa"/>
                  <w:vAlign w:val="center"/>
                  <w:hideMark/>
                </w:tcPr>
                <w:p w14:paraId="628F3382"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3,70%</w:t>
                  </w:r>
                </w:p>
              </w:tc>
              <w:tc>
                <w:tcPr>
                  <w:tcW w:w="1843" w:type="dxa"/>
                  <w:vAlign w:val="center"/>
                  <w:hideMark/>
                </w:tcPr>
                <w:p w14:paraId="2AB7E8E1" w14:textId="77777777" w:rsidR="00B05A17" w:rsidRPr="00A64214" w:rsidRDefault="00B05A17" w:rsidP="00707EB3">
                  <w:pPr>
                    <w:spacing w:before="0" w:after="0" w:line="240" w:lineRule="auto"/>
                    <w:contextualSpacing/>
                    <w:jc w:val="center"/>
                    <w:rPr>
                      <w:rFonts w:eastAsia="Times New Roman" w:cs="Arial"/>
                      <w:color w:val="000000"/>
                      <w:sz w:val="20"/>
                      <w:szCs w:val="20"/>
                      <w:lang w:eastAsia="es-CO"/>
                    </w:rPr>
                  </w:pPr>
                  <w:r w:rsidRPr="00A64214">
                    <w:rPr>
                      <w:rFonts w:eastAsia="Times New Roman" w:cs="Arial"/>
                      <w:color w:val="000000"/>
                      <w:sz w:val="20"/>
                      <w:szCs w:val="20"/>
                      <w:lang w:eastAsia="es-CO"/>
                    </w:rPr>
                    <w:t>33,33%</w:t>
                  </w:r>
                </w:p>
              </w:tc>
            </w:tr>
            <w:tr w:rsidR="00B05A17" w:rsidRPr="00A64214" w14:paraId="5246B051" w14:textId="77777777" w:rsidTr="00707EB3">
              <w:trPr>
                <w:trHeight w:val="496"/>
                <w:jc w:val="center"/>
              </w:trPr>
              <w:tc>
                <w:tcPr>
                  <w:tcW w:w="3421" w:type="dxa"/>
                  <w:gridSpan w:val="2"/>
                  <w:noWrap/>
                  <w:vAlign w:val="center"/>
                  <w:hideMark/>
                </w:tcPr>
                <w:p w14:paraId="4C609E86"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Total</w:t>
                  </w:r>
                </w:p>
              </w:tc>
              <w:tc>
                <w:tcPr>
                  <w:tcW w:w="1701" w:type="dxa"/>
                  <w:vAlign w:val="center"/>
                  <w:hideMark/>
                </w:tcPr>
                <w:p w14:paraId="31AE629B"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27</w:t>
                  </w:r>
                </w:p>
              </w:tc>
              <w:tc>
                <w:tcPr>
                  <w:tcW w:w="1701" w:type="dxa"/>
                  <w:vAlign w:val="center"/>
                  <w:hideMark/>
                </w:tcPr>
                <w:p w14:paraId="0A09ABAE"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 </w:t>
                  </w:r>
                </w:p>
              </w:tc>
              <w:tc>
                <w:tcPr>
                  <w:tcW w:w="1843" w:type="dxa"/>
                  <w:vAlign w:val="center"/>
                  <w:hideMark/>
                </w:tcPr>
                <w:p w14:paraId="300BDDBF" w14:textId="77777777" w:rsidR="00B05A17" w:rsidRPr="00A64214" w:rsidRDefault="00B05A17" w:rsidP="00707EB3">
                  <w:pPr>
                    <w:spacing w:before="0" w:after="0" w:line="240" w:lineRule="auto"/>
                    <w:contextualSpacing/>
                    <w:jc w:val="center"/>
                    <w:rPr>
                      <w:rFonts w:eastAsia="Times New Roman" w:cs="Arial"/>
                      <w:b/>
                      <w:color w:val="000000"/>
                      <w:sz w:val="20"/>
                      <w:szCs w:val="20"/>
                      <w:lang w:eastAsia="es-CO"/>
                    </w:rPr>
                  </w:pPr>
                  <w:r w:rsidRPr="00A64214">
                    <w:rPr>
                      <w:rFonts w:eastAsia="Times New Roman" w:cs="Arial"/>
                      <w:b/>
                      <w:color w:val="000000"/>
                      <w:sz w:val="20"/>
                      <w:szCs w:val="20"/>
                      <w:lang w:eastAsia="es-CO"/>
                    </w:rPr>
                    <w:t>100,00%</w:t>
                  </w:r>
                </w:p>
              </w:tc>
            </w:tr>
          </w:tbl>
          <w:p w14:paraId="7CE6FBA6" w14:textId="77777777" w:rsidR="00B05A17" w:rsidRPr="00B06B5A" w:rsidRDefault="00B05A17" w:rsidP="00707EB3">
            <w:pPr>
              <w:spacing w:before="0" w:after="0" w:line="240" w:lineRule="auto"/>
              <w:contextualSpacing/>
              <w:jc w:val="both"/>
              <w:rPr>
                <w:rFonts w:cs="Arial"/>
                <w:i/>
                <w:sz w:val="18"/>
                <w:szCs w:val="18"/>
              </w:rPr>
            </w:pPr>
            <w:r w:rsidRPr="00B06B5A">
              <w:rPr>
                <w:rFonts w:cs="Arial"/>
                <w:i/>
                <w:sz w:val="18"/>
                <w:szCs w:val="18"/>
              </w:rPr>
              <w:t xml:space="preserve">Fuente: Elaboración propia </w:t>
            </w:r>
            <w:proofErr w:type="gramStart"/>
            <w:r w:rsidRPr="00B06B5A">
              <w:rPr>
                <w:rFonts w:cs="Arial"/>
                <w:i/>
                <w:sz w:val="18"/>
                <w:szCs w:val="18"/>
              </w:rPr>
              <w:t>Delegada</w:t>
            </w:r>
            <w:proofErr w:type="gramEnd"/>
            <w:r w:rsidRPr="00B06B5A">
              <w:rPr>
                <w:rFonts w:cs="Arial"/>
                <w:i/>
                <w:sz w:val="18"/>
                <w:szCs w:val="18"/>
              </w:rPr>
              <w:t xml:space="preserve"> para Entidades Territoriales y Generadores, Recaudadores y Administradores de Recursos del Sistema General de Seguridad Social en Salud</w:t>
            </w:r>
          </w:p>
          <w:p w14:paraId="4451028B" w14:textId="77777777" w:rsidR="00B05A17" w:rsidRPr="0098433D" w:rsidRDefault="00B05A17" w:rsidP="00707EB3">
            <w:pPr>
              <w:spacing w:before="0" w:after="0" w:line="240" w:lineRule="auto"/>
              <w:contextualSpacing/>
              <w:jc w:val="both"/>
              <w:rPr>
                <w:rFonts w:cs="Arial"/>
              </w:rPr>
            </w:pPr>
          </w:p>
          <w:p w14:paraId="50B35A2F" w14:textId="5A3F632A" w:rsidR="00224576" w:rsidRPr="006F0B05" w:rsidRDefault="00224576" w:rsidP="00224576">
            <w:pPr>
              <w:spacing w:before="0" w:after="0" w:line="276" w:lineRule="auto"/>
              <w:contextualSpacing/>
              <w:jc w:val="both"/>
              <w:rPr>
                <w:rFonts w:cs="Arial"/>
                <w:szCs w:val="24"/>
              </w:rPr>
            </w:pPr>
            <w:r w:rsidRPr="006F0B05">
              <w:rPr>
                <w:rFonts w:cs="Arial"/>
                <w:szCs w:val="24"/>
              </w:rPr>
              <w:t xml:space="preserve">Como referentes para el desarrollo de la </w:t>
            </w:r>
            <w:r w:rsidR="00BC307E">
              <w:rPr>
                <w:rFonts w:cs="Arial"/>
                <w:szCs w:val="24"/>
              </w:rPr>
              <w:t>inspección focalizada</w:t>
            </w:r>
            <w:r w:rsidRPr="007801DC">
              <w:rPr>
                <w:rFonts w:cs="Arial"/>
                <w:szCs w:val="24"/>
              </w:rPr>
              <w:t>,</w:t>
            </w:r>
            <w:r w:rsidRPr="006F0B05">
              <w:rPr>
                <w:rFonts w:cs="Arial"/>
                <w:szCs w:val="24"/>
              </w:rPr>
              <w:t xml:space="preserve"> </w:t>
            </w:r>
            <w:r w:rsidRPr="006F0B05">
              <w:rPr>
                <w:rFonts w:cs="Arial"/>
                <w:color w:val="808080" w:themeColor="background1" w:themeShade="80"/>
                <w:szCs w:val="24"/>
              </w:rPr>
              <w:t xml:space="preserve">el (la) </w:t>
            </w:r>
            <w:proofErr w:type="spellStart"/>
            <w:r w:rsidRPr="006F0B05">
              <w:rPr>
                <w:rFonts w:cs="Arial"/>
                <w:color w:val="808080" w:themeColor="background1" w:themeShade="80"/>
                <w:szCs w:val="24"/>
              </w:rPr>
              <w:t>Dr</w:t>
            </w:r>
            <w:proofErr w:type="spellEnd"/>
            <w:r w:rsidRPr="006F0B05">
              <w:rPr>
                <w:rFonts w:cs="Arial"/>
                <w:color w:val="808080" w:themeColor="background1" w:themeShade="80"/>
                <w:szCs w:val="24"/>
              </w:rPr>
              <w:t xml:space="preserve">(a). Nombre y Cargo del </w:t>
            </w:r>
            <w:proofErr w:type="gramStart"/>
            <w:r w:rsidRPr="006F0B05">
              <w:rPr>
                <w:rFonts w:cs="Arial"/>
                <w:color w:val="808080" w:themeColor="background1" w:themeShade="80"/>
                <w:szCs w:val="24"/>
              </w:rPr>
              <w:t>Secretario</w:t>
            </w:r>
            <w:proofErr w:type="gramEnd"/>
            <w:r w:rsidRPr="006F0B05">
              <w:rPr>
                <w:rFonts w:cs="Arial"/>
                <w:color w:val="808080" w:themeColor="background1" w:themeShade="80"/>
                <w:szCs w:val="24"/>
              </w:rPr>
              <w:t xml:space="preserve"> de Salud o quien haga sus veces </w:t>
            </w:r>
            <w:r w:rsidRPr="006F0B05">
              <w:rPr>
                <w:rFonts w:cs="Arial"/>
                <w:szCs w:val="24"/>
              </w:rPr>
              <w:t xml:space="preserve">designó a los servidores o contratistas que serán los responsables de suministrar la información solicitada y acompañar a los funcionarios de la Superintendencia que ejercerán la mencionada acción.  </w:t>
            </w:r>
          </w:p>
          <w:p w14:paraId="0B9792CC" w14:textId="77777777" w:rsidR="00224576" w:rsidRPr="006F0B05" w:rsidRDefault="00224576" w:rsidP="00224576">
            <w:pPr>
              <w:spacing w:before="0" w:after="0" w:line="276" w:lineRule="auto"/>
              <w:contextualSpacing/>
              <w:jc w:val="both"/>
              <w:rPr>
                <w:rFonts w:cs="Arial"/>
                <w:szCs w:val="24"/>
              </w:rPr>
            </w:pPr>
          </w:p>
          <w:p w14:paraId="50E747CB" w14:textId="117B2EE5" w:rsidR="00224576" w:rsidRPr="006F0B05" w:rsidRDefault="00224576" w:rsidP="00224576">
            <w:pPr>
              <w:spacing w:before="0" w:after="0" w:line="276" w:lineRule="auto"/>
              <w:jc w:val="both"/>
              <w:rPr>
                <w:rFonts w:cs="Arial"/>
                <w:b/>
                <w:i/>
                <w:color w:val="FF0000"/>
                <w:szCs w:val="24"/>
              </w:rPr>
            </w:pPr>
            <w:r w:rsidRPr="006F0B05">
              <w:rPr>
                <w:rFonts w:cs="Arial"/>
                <w:b/>
                <w:bCs/>
                <w:i/>
                <w:iCs/>
                <w:color w:val="808080" w:themeColor="background1" w:themeShade="80"/>
                <w:szCs w:val="24"/>
              </w:rPr>
              <w:t>(</w:t>
            </w:r>
            <w:r w:rsidRPr="006F0B05">
              <w:rPr>
                <w:rFonts w:cs="Arial"/>
                <w:b/>
                <w:i/>
                <w:color w:val="808080" w:themeColor="background1" w:themeShade="80"/>
                <w:szCs w:val="24"/>
              </w:rPr>
              <w:t xml:space="preserve">Diligenciar tabla con el nombre, cargo, Área/Dependencia de los funcionarios de la Secretaría de Salud designados para atender </w:t>
            </w:r>
            <w:r w:rsidRPr="007801DC">
              <w:rPr>
                <w:rFonts w:cs="Arial"/>
                <w:b/>
                <w:i/>
                <w:color w:val="808080" w:themeColor="background1" w:themeShade="80"/>
                <w:szCs w:val="24"/>
              </w:rPr>
              <w:t xml:space="preserve">la </w:t>
            </w:r>
            <w:r w:rsidR="00BC307E">
              <w:rPr>
                <w:rFonts w:cs="Arial"/>
                <w:b/>
                <w:i/>
                <w:color w:val="808080" w:themeColor="background1" w:themeShade="80"/>
                <w:szCs w:val="24"/>
              </w:rPr>
              <w:t>inspección focalizada</w:t>
            </w:r>
            <w:r w:rsidRPr="007801DC">
              <w:rPr>
                <w:rFonts w:cs="Arial"/>
                <w:b/>
                <w:i/>
                <w:color w:val="808080" w:themeColor="background1" w:themeShade="80"/>
                <w:szCs w:val="24"/>
              </w:rPr>
              <w:t>)</w:t>
            </w:r>
          </w:p>
          <w:p w14:paraId="685AE499" w14:textId="77777777" w:rsidR="00B05A17" w:rsidRPr="0098433D" w:rsidRDefault="00B05A17" w:rsidP="00707EB3">
            <w:pPr>
              <w:spacing w:before="0" w:after="0" w:line="240" w:lineRule="auto"/>
              <w:contextualSpacing/>
              <w:jc w:val="both"/>
              <w:rPr>
                <w:rFonts w:cs="Arial"/>
              </w:rPr>
            </w:pPr>
          </w:p>
          <w:tbl>
            <w:tblPr>
              <w:tblStyle w:val="Tablaconcuadrcula"/>
              <w:tblW w:w="8609" w:type="dxa"/>
              <w:tblLayout w:type="fixed"/>
              <w:tblLook w:val="04A0" w:firstRow="1" w:lastRow="0" w:firstColumn="1" w:lastColumn="0" w:noHBand="0" w:noVBand="1"/>
            </w:tblPr>
            <w:tblGrid>
              <w:gridCol w:w="2869"/>
              <w:gridCol w:w="2870"/>
              <w:gridCol w:w="2870"/>
            </w:tblGrid>
            <w:tr w:rsidR="00B05A17" w:rsidRPr="00A96557" w14:paraId="45408E71" w14:textId="77777777" w:rsidTr="004B40F5">
              <w:trPr>
                <w:trHeight w:val="512"/>
                <w:tblHeader/>
              </w:trPr>
              <w:tc>
                <w:tcPr>
                  <w:tcW w:w="2869" w:type="dxa"/>
                </w:tcPr>
                <w:p w14:paraId="0200B9FF" w14:textId="77777777" w:rsidR="00B05A17" w:rsidRPr="00A96557" w:rsidRDefault="00B05A17" w:rsidP="00707EB3">
                  <w:pPr>
                    <w:spacing w:before="0" w:after="0" w:line="240" w:lineRule="auto"/>
                    <w:contextualSpacing/>
                    <w:jc w:val="center"/>
                    <w:rPr>
                      <w:rFonts w:cs="Arial"/>
                      <w:b/>
                      <w:bCs/>
                      <w:sz w:val="22"/>
                    </w:rPr>
                  </w:pPr>
                  <w:r w:rsidRPr="00A96557">
                    <w:rPr>
                      <w:rFonts w:cs="Arial"/>
                      <w:b/>
                      <w:bCs/>
                      <w:sz w:val="22"/>
                    </w:rPr>
                    <w:lastRenderedPageBreak/>
                    <w:t>Nombre</w:t>
                  </w:r>
                </w:p>
              </w:tc>
              <w:tc>
                <w:tcPr>
                  <w:tcW w:w="2870" w:type="dxa"/>
                </w:tcPr>
                <w:p w14:paraId="70EC1B23" w14:textId="77777777" w:rsidR="00B05A17" w:rsidRPr="00A96557" w:rsidRDefault="00B05A17" w:rsidP="00707EB3">
                  <w:pPr>
                    <w:spacing w:before="0" w:after="0" w:line="240" w:lineRule="auto"/>
                    <w:contextualSpacing/>
                    <w:jc w:val="center"/>
                    <w:rPr>
                      <w:rFonts w:cs="Arial"/>
                      <w:b/>
                      <w:bCs/>
                      <w:sz w:val="22"/>
                    </w:rPr>
                  </w:pPr>
                  <w:r w:rsidRPr="00A96557">
                    <w:rPr>
                      <w:rFonts w:cs="Arial"/>
                      <w:b/>
                      <w:bCs/>
                      <w:sz w:val="22"/>
                    </w:rPr>
                    <w:t>Cargo</w:t>
                  </w:r>
                </w:p>
              </w:tc>
              <w:tc>
                <w:tcPr>
                  <w:tcW w:w="2870" w:type="dxa"/>
                </w:tcPr>
                <w:p w14:paraId="2CDA1411" w14:textId="77777777" w:rsidR="00B05A17" w:rsidRPr="00A96557" w:rsidRDefault="00B05A17" w:rsidP="00707EB3">
                  <w:pPr>
                    <w:spacing w:before="0" w:after="0" w:line="240" w:lineRule="auto"/>
                    <w:contextualSpacing/>
                    <w:jc w:val="center"/>
                    <w:rPr>
                      <w:rFonts w:cs="Arial"/>
                      <w:b/>
                      <w:bCs/>
                      <w:sz w:val="22"/>
                    </w:rPr>
                  </w:pPr>
                  <w:r w:rsidRPr="00A96557">
                    <w:rPr>
                      <w:rFonts w:cs="Arial"/>
                      <w:b/>
                      <w:bCs/>
                      <w:sz w:val="22"/>
                    </w:rPr>
                    <w:t>Área / Dependencia</w:t>
                  </w:r>
                </w:p>
              </w:tc>
            </w:tr>
            <w:tr w:rsidR="00B05A17" w:rsidRPr="00A96557" w14:paraId="49D1202C" w14:textId="77777777" w:rsidTr="00707EB3">
              <w:trPr>
                <w:trHeight w:val="407"/>
              </w:trPr>
              <w:tc>
                <w:tcPr>
                  <w:tcW w:w="2869" w:type="dxa"/>
                </w:tcPr>
                <w:p w14:paraId="58A55CB7" w14:textId="77777777" w:rsidR="00B05A17" w:rsidRPr="00A96557" w:rsidRDefault="00B05A17" w:rsidP="00707EB3">
                  <w:pPr>
                    <w:spacing w:before="0" w:after="0" w:line="240" w:lineRule="auto"/>
                    <w:contextualSpacing/>
                    <w:jc w:val="both"/>
                    <w:rPr>
                      <w:rFonts w:cs="Arial"/>
                      <w:sz w:val="22"/>
                    </w:rPr>
                  </w:pPr>
                </w:p>
              </w:tc>
              <w:tc>
                <w:tcPr>
                  <w:tcW w:w="2870" w:type="dxa"/>
                </w:tcPr>
                <w:p w14:paraId="5AE2C640" w14:textId="77777777" w:rsidR="00B05A17" w:rsidRPr="00A96557" w:rsidRDefault="00B05A17" w:rsidP="00707EB3">
                  <w:pPr>
                    <w:spacing w:before="0" w:after="0" w:line="240" w:lineRule="auto"/>
                    <w:contextualSpacing/>
                    <w:jc w:val="both"/>
                    <w:rPr>
                      <w:rFonts w:cs="Arial"/>
                      <w:sz w:val="22"/>
                    </w:rPr>
                  </w:pPr>
                </w:p>
              </w:tc>
              <w:tc>
                <w:tcPr>
                  <w:tcW w:w="2870" w:type="dxa"/>
                </w:tcPr>
                <w:p w14:paraId="48DC630F" w14:textId="77777777" w:rsidR="00B05A17" w:rsidRPr="00A96557" w:rsidRDefault="00B05A17" w:rsidP="00707EB3">
                  <w:pPr>
                    <w:spacing w:before="0" w:after="0" w:line="240" w:lineRule="auto"/>
                    <w:contextualSpacing/>
                    <w:jc w:val="both"/>
                    <w:rPr>
                      <w:rFonts w:cs="Arial"/>
                      <w:sz w:val="22"/>
                    </w:rPr>
                  </w:pPr>
                </w:p>
              </w:tc>
            </w:tr>
            <w:tr w:rsidR="00B05A17" w:rsidRPr="00A96557" w14:paraId="1D059B36" w14:textId="77777777" w:rsidTr="00707EB3">
              <w:trPr>
                <w:trHeight w:val="400"/>
              </w:trPr>
              <w:tc>
                <w:tcPr>
                  <w:tcW w:w="2869" w:type="dxa"/>
                </w:tcPr>
                <w:p w14:paraId="76CC1D22" w14:textId="77777777" w:rsidR="00B05A17" w:rsidRPr="00A96557" w:rsidRDefault="00B05A17" w:rsidP="00707EB3">
                  <w:pPr>
                    <w:spacing w:before="0" w:after="0" w:line="240" w:lineRule="auto"/>
                    <w:contextualSpacing/>
                    <w:jc w:val="both"/>
                    <w:rPr>
                      <w:rFonts w:cs="Arial"/>
                      <w:sz w:val="22"/>
                    </w:rPr>
                  </w:pPr>
                </w:p>
              </w:tc>
              <w:tc>
                <w:tcPr>
                  <w:tcW w:w="2870" w:type="dxa"/>
                </w:tcPr>
                <w:p w14:paraId="0F86A9CD" w14:textId="77777777" w:rsidR="00B05A17" w:rsidRPr="00A96557" w:rsidRDefault="00B05A17" w:rsidP="00707EB3">
                  <w:pPr>
                    <w:spacing w:before="0" w:after="0" w:line="240" w:lineRule="auto"/>
                    <w:contextualSpacing/>
                    <w:jc w:val="both"/>
                    <w:rPr>
                      <w:rFonts w:cs="Arial"/>
                      <w:sz w:val="22"/>
                    </w:rPr>
                  </w:pPr>
                </w:p>
              </w:tc>
              <w:tc>
                <w:tcPr>
                  <w:tcW w:w="2870" w:type="dxa"/>
                </w:tcPr>
                <w:p w14:paraId="3C2CC81B" w14:textId="77777777" w:rsidR="00B05A17" w:rsidRPr="00A96557" w:rsidRDefault="00B05A17" w:rsidP="00707EB3">
                  <w:pPr>
                    <w:spacing w:before="0" w:after="0" w:line="240" w:lineRule="auto"/>
                    <w:contextualSpacing/>
                    <w:jc w:val="both"/>
                    <w:rPr>
                      <w:rFonts w:cs="Arial"/>
                      <w:sz w:val="22"/>
                    </w:rPr>
                  </w:pPr>
                </w:p>
              </w:tc>
            </w:tr>
            <w:tr w:rsidR="00B05A17" w:rsidRPr="00A96557" w14:paraId="5558C2C0" w14:textId="77777777" w:rsidTr="00707EB3">
              <w:trPr>
                <w:trHeight w:val="406"/>
              </w:trPr>
              <w:tc>
                <w:tcPr>
                  <w:tcW w:w="2869" w:type="dxa"/>
                </w:tcPr>
                <w:p w14:paraId="7B203391" w14:textId="77777777" w:rsidR="00B05A17" w:rsidRPr="00A96557" w:rsidRDefault="00B05A17" w:rsidP="00707EB3">
                  <w:pPr>
                    <w:spacing w:before="0" w:after="0" w:line="240" w:lineRule="auto"/>
                    <w:contextualSpacing/>
                    <w:jc w:val="both"/>
                    <w:rPr>
                      <w:rFonts w:cs="Arial"/>
                      <w:sz w:val="22"/>
                    </w:rPr>
                  </w:pPr>
                </w:p>
              </w:tc>
              <w:tc>
                <w:tcPr>
                  <w:tcW w:w="2870" w:type="dxa"/>
                </w:tcPr>
                <w:p w14:paraId="1D67306C" w14:textId="77777777" w:rsidR="00B05A17" w:rsidRPr="00A96557" w:rsidRDefault="00B05A17" w:rsidP="00707EB3">
                  <w:pPr>
                    <w:spacing w:before="0" w:after="0" w:line="240" w:lineRule="auto"/>
                    <w:contextualSpacing/>
                    <w:jc w:val="both"/>
                    <w:rPr>
                      <w:rFonts w:cs="Arial"/>
                      <w:sz w:val="22"/>
                    </w:rPr>
                  </w:pPr>
                </w:p>
              </w:tc>
              <w:tc>
                <w:tcPr>
                  <w:tcW w:w="2870" w:type="dxa"/>
                </w:tcPr>
                <w:p w14:paraId="1AB964B2" w14:textId="77777777" w:rsidR="00B05A17" w:rsidRPr="00A96557" w:rsidRDefault="00B05A17" w:rsidP="00707EB3">
                  <w:pPr>
                    <w:spacing w:before="0" w:after="0" w:line="240" w:lineRule="auto"/>
                    <w:contextualSpacing/>
                    <w:jc w:val="both"/>
                    <w:rPr>
                      <w:rFonts w:cs="Arial"/>
                      <w:sz w:val="22"/>
                    </w:rPr>
                  </w:pPr>
                </w:p>
              </w:tc>
            </w:tr>
            <w:tr w:rsidR="00B05A17" w:rsidRPr="00A96557" w14:paraId="013DE91F" w14:textId="77777777" w:rsidTr="00707EB3">
              <w:trPr>
                <w:trHeight w:val="399"/>
              </w:trPr>
              <w:tc>
                <w:tcPr>
                  <w:tcW w:w="2869" w:type="dxa"/>
                </w:tcPr>
                <w:p w14:paraId="49342188" w14:textId="77777777" w:rsidR="00B05A17" w:rsidRPr="00A96557" w:rsidRDefault="00B05A17" w:rsidP="00707EB3">
                  <w:pPr>
                    <w:spacing w:before="0" w:after="0" w:line="240" w:lineRule="auto"/>
                    <w:contextualSpacing/>
                    <w:jc w:val="both"/>
                    <w:rPr>
                      <w:rFonts w:cs="Arial"/>
                      <w:sz w:val="22"/>
                    </w:rPr>
                  </w:pPr>
                </w:p>
              </w:tc>
              <w:tc>
                <w:tcPr>
                  <w:tcW w:w="2870" w:type="dxa"/>
                </w:tcPr>
                <w:p w14:paraId="6FF739D1" w14:textId="77777777" w:rsidR="00B05A17" w:rsidRPr="00A96557" w:rsidRDefault="00B05A17" w:rsidP="00707EB3">
                  <w:pPr>
                    <w:spacing w:before="0" w:after="0" w:line="240" w:lineRule="auto"/>
                    <w:contextualSpacing/>
                    <w:jc w:val="both"/>
                    <w:rPr>
                      <w:rFonts w:cs="Arial"/>
                      <w:sz w:val="22"/>
                    </w:rPr>
                  </w:pPr>
                </w:p>
              </w:tc>
              <w:tc>
                <w:tcPr>
                  <w:tcW w:w="2870" w:type="dxa"/>
                </w:tcPr>
                <w:p w14:paraId="7A71F7D7" w14:textId="77777777" w:rsidR="00B05A17" w:rsidRPr="00A96557" w:rsidRDefault="00B05A17" w:rsidP="00707EB3">
                  <w:pPr>
                    <w:spacing w:before="0" w:after="0" w:line="240" w:lineRule="auto"/>
                    <w:contextualSpacing/>
                    <w:jc w:val="both"/>
                    <w:rPr>
                      <w:rFonts w:cs="Arial"/>
                      <w:sz w:val="22"/>
                    </w:rPr>
                  </w:pPr>
                </w:p>
              </w:tc>
            </w:tr>
            <w:tr w:rsidR="00B05A17" w:rsidRPr="00A96557" w14:paraId="09BE6D6E" w14:textId="77777777" w:rsidTr="00707EB3">
              <w:trPr>
                <w:trHeight w:val="417"/>
              </w:trPr>
              <w:tc>
                <w:tcPr>
                  <w:tcW w:w="2869" w:type="dxa"/>
                </w:tcPr>
                <w:p w14:paraId="3F250109" w14:textId="77777777" w:rsidR="00B05A17" w:rsidRPr="00A96557" w:rsidRDefault="00B05A17" w:rsidP="00707EB3">
                  <w:pPr>
                    <w:spacing w:before="0" w:after="0" w:line="240" w:lineRule="auto"/>
                    <w:contextualSpacing/>
                    <w:jc w:val="both"/>
                    <w:rPr>
                      <w:rFonts w:cs="Arial"/>
                      <w:sz w:val="22"/>
                    </w:rPr>
                  </w:pPr>
                </w:p>
              </w:tc>
              <w:tc>
                <w:tcPr>
                  <w:tcW w:w="2870" w:type="dxa"/>
                </w:tcPr>
                <w:p w14:paraId="09A587A5" w14:textId="77777777" w:rsidR="00B05A17" w:rsidRPr="00A96557" w:rsidRDefault="00B05A17" w:rsidP="00707EB3">
                  <w:pPr>
                    <w:spacing w:before="0" w:after="0" w:line="240" w:lineRule="auto"/>
                    <w:contextualSpacing/>
                    <w:jc w:val="both"/>
                    <w:rPr>
                      <w:rFonts w:cs="Arial"/>
                      <w:sz w:val="22"/>
                    </w:rPr>
                  </w:pPr>
                </w:p>
              </w:tc>
              <w:tc>
                <w:tcPr>
                  <w:tcW w:w="2870" w:type="dxa"/>
                </w:tcPr>
                <w:p w14:paraId="2E518DEC" w14:textId="77777777" w:rsidR="00B05A17" w:rsidRPr="00A96557" w:rsidRDefault="00B05A17" w:rsidP="00707EB3">
                  <w:pPr>
                    <w:spacing w:before="0" w:after="0" w:line="240" w:lineRule="auto"/>
                    <w:contextualSpacing/>
                    <w:jc w:val="both"/>
                    <w:rPr>
                      <w:rFonts w:cs="Arial"/>
                      <w:sz w:val="22"/>
                    </w:rPr>
                  </w:pPr>
                </w:p>
              </w:tc>
            </w:tr>
          </w:tbl>
          <w:p w14:paraId="6978CE81" w14:textId="77777777" w:rsidR="00B05A17" w:rsidRPr="0098433D" w:rsidRDefault="00B05A17" w:rsidP="00707EB3">
            <w:pPr>
              <w:spacing w:before="0" w:after="0" w:line="240" w:lineRule="auto"/>
              <w:contextualSpacing/>
              <w:jc w:val="both"/>
              <w:rPr>
                <w:rFonts w:cs="Arial"/>
              </w:rPr>
            </w:pPr>
          </w:p>
          <w:p w14:paraId="5E857CB0" w14:textId="77777777" w:rsidR="00574E06" w:rsidRPr="006F0B05" w:rsidRDefault="00574E06" w:rsidP="00574E06">
            <w:pPr>
              <w:spacing w:before="0" w:after="0" w:line="276" w:lineRule="auto"/>
              <w:contextualSpacing/>
              <w:jc w:val="both"/>
              <w:rPr>
                <w:rFonts w:cs="Arial"/>
                <w:szCs w:val="24"/>
              </w:rPr>
            </w:pPr>
            <w:r w:rsidRPr="006F0B05">
              <w:rPr>
                <w:rFonts w:cs="Arial"/>
                <w:szCs w:val="24"/>
              </w:rPr>
              <w:t xml:space="preserve">Se indica al </w:t>
            </w:r>
            <w:proofErr w:type="gramStart"/>
            <w:r w:rsidRPr="006F0B05">
              <w:rPr>
                <w:rFonts w:cs="Arial"/>
                <w:szCs w:val="24"/>
              </w:rPr>
              <w:t>Secretario</w:t>
            </w:r>
            <w:proofErr w:type="gramEnd"/>
            <w:r w:rsidRPr="006F0B05">
              <w:rPr>
                <w:rFonts w:cs="Arial"/>
                <w:szCs w:val="24"/>
              </w:rPr>
              <w:t xml:space="preserve"> de Salud (o la persona que ha sido designada para la atención de la acción) que, una vez terminada la actividad se procederá a dar lectura del acta para aprobación y firma por los que en ella participaron. </w:t>
            </w:r>
          </w:p>
          <w:p w14:paraId="420D676B" w14:textId="77777777" w:rsidR="00574E06" w:rsidRPr="006F0B05" w:rsidRDefault="00574E06" w:rsidP="00574E06">
            <w:pPr>
              <w:spacing w:before="0" w:after="0" w:line="276" w:lineRule="auto"/>
              <w:contextualSpacing/>
              <w:jc w:val="both"/>
              <w:rPr>
                <w:rFonts w:cs="Arial"/>
                <w:szCs w:val="24"/>
              </w:rPr>
            </w:pPr>
          </w:p>
          <w:p w14:paraId="17455AE6" w14:textId="77777777" w:rsidR="00574E06" w:rsidRPr="006F0B05" w:rsidRDefault="00574E06" w:rsidP="00574E06">
            <w:pPr>
              <w:spacing w:before="0" w:after="0" w:line="276" w:lineRule="auto"/>
              <w:contextualSpacing/>
              <w:rPr>
                <w:rFonts w:cs="Arial"/>
                <w:b/>
                <w:bCs/>
                <w:color w:val="000000"/>
                <w:szCs w:val="24"/>
              </w:rPr>
            </w:pPr>
            <w:r w:rsidRPr="006F0B05">
              <w:rPr>
                <w:rFonts w:cs="Arial"/>
                <w:b/>
                <w:bCs/>
                <w:color w:val="000000"/>
                <w:szCs w:val="24"/>
              </w:rPr>
              <w:t xml:space="preserve">DESARROLLO DE LA ACCIÓN DE INSPECCIÓN Y VIGILANCIA: </w:t>
            </w:r>
          </w:p>
          <w:p w14:paraId="5ABCFA07" w14:textId="77777777" w:rsidR="00574E06" w:rsidRPr="006F0B05" w:rsidRDefault="00574E06" w:rsidP="00574E06">
            <w:pPr>
              <w:spacing w:before="0" w:after="0" w:line="276" w:lineRule="auto"/>
              <w:contextualSpacing/>
              <w:rPr>
                <w:rFonts w:cs="Arial"/>
                <w:b/>
                <w:bCs/>
                <w:color w:val="000000"/>
                <w:szCs w:val="24"/>
              </w:rPr>
            </w:pPr>
          </w:p>
          <w:p w14:paraId="1ED0BB88" w14:textId="77777777" w:rsidR="00574E06" w:rsidRPr="006F0B05" w:rsidRDefault="00574E06" w:rsidP="00574E06">
            <w:pPr>
              <w:spacing w:before="0" w:after="0" w:line="276" w:lineRule="auto"/>
              <w:contextualSpacing/>
              <w:jc w:val="both"/>
              <w:rPr>
                <w:rFonts w:cs="Arial"/>
                <w:color w:val="000000"/>
                <w:szCs w:val="24"/>
              </w:rPr>
            </w:pPr>
            <w:r w:rsidRPr="006F0B05">
              <w:rPr>
                <w:rFonts w:cs="Arial"/>
                <w:color w:val="000000"/>
                <w:szCs w:val="24"/>
              </w:rPr>
              <w:t xml:space="preserve">Se procedió a realizar la revisión de los siguientes criterios: </w:t>
            </w:r>
          </w:p>
          <w:p w14:paraId="48B713D7" w14:textId="77777777" w:rsidR="00574E06" w:rsidRPr="006F0B05" w:rsidRDefault="00574E06" w:rsidP="00574E06">
            <w:pPr>
              <w:spacing w:before="0" w:after="0" w:line="276" w:lineRule="auto"/>
              <w:contextualSpacing/>
              <w:jc w:val="both"/>
              <w:rPr>
                <w:rFonts w:cs="Arial"/>
                <w:color w:val="000000"/>
                <w:szCs w:val="24"/>
              </w:rPr>
            </w:pPr>
          </w:p>
          <w:p w14:paraId="32810B3A"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Cuenta con ruta integral de atención Materno Perinatal - RIAMP, implementada en su territorio.</w:t>
            </w:r>
          </w:p>
          <w:p w14:paraId="1B988E08" w14:textId="77777777" w:rsidR="00574E06" w:rsidRPr="006F0B05" w:rsidRDefault="00574E06" w:rsidP="00574E06">
            <w:pPr>
              <w:pStyle w:val="Prrafodelista"/>
              <w:spacing w:before="0" w:after="0" w:line="276" w:lineRule="auto"/>
              <w:ind w:left="720"/>
              <w:contextualSpacing/>
              <w:jc w:val="both"/>
              <w:rPr>
                <w:rFonts w:cs="Arial"/>
                <w:szCs w:val="24"/>
              </w:rPr>
            </w:pPr>
          </w:p>
          <w:p w14:paraId="468D9A34"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Garantiza la oferta de servicios de salud relacionados con la IVE en las distintas modalidades de atención a través de la red pública y/o privada.</w:t>
            </w:r>
          </w:p>
          <w:p w14:paraId="416199CD" w14:textId="77777777" w:rsidR="00574E06" w:rsidRPr="006F0B05" w:rsidRDefault="00574E06" w:rsidP="00574E06">
            <w:pPr>
              <w:pStyle w:val="Prrafodelista"/>
              <w:spacing w:before="0" w:after="0" w:line="276" w:lineRule="auto"/>
              <w:ind w:left="720"/>
              <w:contextualSpacing/>
              <w:jc w:val="both"/>
              <w:rPr>
                <w:rFonts w:cs="Arial"/>
                <w:szCs w:val="24"/>
              </w:rPr>
            </w:pPr>
          </w:p>
          <w:p w14:paraId="5856304D"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Realiza asistencia técnica a municipio, Entidad de Aseguramiento en Salud - EAS e Instituciones Prestadoras de Servicios de Salud - IPS frente a la IVE que incluya: Sentencias C-355/2006 y C-055/2022; Resoluciones 3280/2018 y 051/2023; Circular Externa 044 de 2022 del MSPS.</w:t>
            </w:r>
          </w:p>
          <w:p w14:paraId="7D87EA36" w14:textId="77777777" w:rsidR="00574E06" w:rsidRPr="006F0B05" w:rsidRDefault="00574E06" w:rsidP="00574E06">
            <w:pPr>
              <w:pStyle w:val="Prrafodelista"/>
              <w:spacing w:before="0" w:after="0" w:line="276" w:lineRule="auto"/>
              <w:ind w:left="720"/>
              <w:contextualSpacing/>
              <w:jc w:val="both"/>
              <w:rPr>
                <w:rFonts w:cs="Arial"/>
                <w:szCs w:val="24"/>
              </w:rPr>
            </w:pPr>
          </w:p>
          <w:p w14:paraId="62311D90"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Incluye en los planes, programas y estrategias en salud pública las acciones, el desarrollo de capacidades institucionales, sectoriales, intersectoriales y comunitarias, que permitan la adopción y apropiación de derechos sexuales y reproductivos y la perspectiva de enfoque de igualdad de género donde se incluya el acceso a información oportuna, suficiente y adecuada en materia reproductiva que incluya la garantía de la IVE.</w:t>
            </w:r>
          </w:p>
          <w:p w14:paraId="11481893" w14:textId="77777777" w:rsidR="00574E06" w:rsidRPr="006F0B05" w:rsidRDefault="00574E06" w:rsidP="00574E06">
            <w:pPr>
              <w:pStyle w:val="Prrafodelista"/>
              <w:spacing w:before="0" w:after="0" w:line="276" w:lineRule="auto"/>
              <w:ind w:left="720"/>
              <w:contextualSpacing/>
              <w:jc w:val="both"/>
              <w:rPr>
                <w:rFonts w:cs="Arial"/>
                <w:szCs w:val="24"/>
              </w:rPr>
            </w:pPr>
          </w:p>
          <w:p w14:paraId="15E36B2A"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lastRenderedPageBreak/>
              <w:t>Fortalece las capacidades del talento humano en salud, las parteras, agentes de salud comunitario, agentes de medicina tradicional y complementaria en las Sentencias C-355 de 2006, SU-096 de 2018 y C-055 de 2022; y de las Resoluciones 3280 de 2018 y 051 de 2023, y quienes las modifiquen, adicionen y/o sustituyan.</w:t>
            </w:r>
          </w:p>
          <w:p w14:paraId="5092E0BB" w14:textId="77777777" w:rsidR="00574E06" w:rsidRPr="006F0B05" w:rsidRDefault="00574E06" w:rsidP="00574E06">
            <w:pPr>
              <w:pStyle w:val="Prrafodelista"/>
              <w:spacing w:before="0" w:after="0" w:line="276" w:lineRule="auto"/>
              <w:ind w:left="720"/>
              <w:contextualSpacing/>
              <w:jc w:val="both"/>
              <w:rPr>
                <w:rFonts w:cs="Arial"/>
                <w:szCs w:val="24"/>
              </w:rPr>
            </w:pPr>
          </w:p>
          <w:p w14:paraId="2DC441CC"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y promueve la participación en la orientación y apoyo para el acceso a la IVE a los auxiliares de enfermería, las parteras, los agentes de salud comunitarios, los agentes de la medicina tradicional y complementaria, y los demás que sean definidos por la ruta.</w:t>
            </w:r>
          </w:p>
          <w:p w14:paraId="5D1CFD1C" w14:textId="77777777" w:rsidR="00574E06" w:rsidRPr="006F0B05" w:rsidRDefault="00574E06" w:rsidP="00574E06">
            <w:pPr>
              <w:pStyle w:val="Prrafodelista"/>
              <w:spacing w:before="0" w:after="0" w:line="276" w:lineRule="auto"/>
              <w:ind w:left="720"/>
              <w:contextualSpacing/>
              <w:jc w:val="both"/>
              <w:rPr>
                <w:rFonts w:cs="Arial"/>
                <w:szCs w:val="24"/>
              </w:rPr>
            </w:pPr>
          </w:p>
          <w:p w14:paraId="3C26F862"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Implementa intervenciones dirigidas a las personas, familias y comunidades, que permitan el acceso a la información sobre los derechos sexuales y los derechos reproductivos, atendiendo a la jurisprudencia constitucional, especialmente las Sentencias C-355 de 2006, SU-096 de 2018 y C-055 de 2022; así como, las Resoluciones 3280 de 2018 y 051 de 2023 del Ministerio de Salud y Protección Social.</w:t>
            </w:r>
          </w:p>
          <w:p w14:paraId="3E139FF1" w14:textId="77777777" w:rsidR="00574E06" w:rsidRPr="006F0B05" w:rsidRDefault="00574E06" w:rsidP="00574E06">
            <w:pPr>
              <w:pStyle w:val="Prrafodelista"/>
              <w:spacing w:before="0" w:after="0" w:line="276" w:lineRule="auto"/>
              <w:ind w:left="720"/>
              <w:contextualSpacing/>
              <w:jc w:val="both"/>
              <w:rPr>
                <w:rFonts w:cs="Arial"/>
                <w:szCs w:val="24"/>
              </w:rPr>
            </w:pPr>
          </w:p>
          <w:p w14:paraId="11EBC050"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Gestiona y vigila la afiliación de las mujeres y personas gestantes de acuerdo con la normatividad, los procedimientos y mecanismos establecidos.</w:t>
            </w:r>
          </w:p>
          <w:p w14:paraId="1C3D75C9" w14:textId="77777777" w:rsidR="00574E06" w:rsidRPr="006F0B05" w:rsidRDefault="00574E06" w:rsidP="00574E06">
            <w:pPr>
              <w:pStyle w:val="Prrafodelista"/>
              <w:spacing w:before="0" w:after="0" w:line="276" w:lineRule="auto"/>
              <w:ind w:left="720"/>
              <w:contextualSpacing/>
              <w:jc w:val="both"/>
              <w:rPr>
                <w:rFonts w:cs="Arial"/>
                <w:szCs w:val="24"/>
              </w:rPr>
            </w:pPr>
          </w:p>
          <w:p w14:paraId="7CDC66C0"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Garantiza la IVE a la población en condición de migración irregular a través de la red pública, de conformidad con las reglas y subreglas jurisprudenciales establecidas por la Corte Constitucional, el Decreto 866 de 2017 y la Resolución 051 de 2023, y aquellas que las modifiquen, adicionen y/o sustituyan.</w:t>
            </w:r>
          </w:p>
          <w:p w14:paraId="2E5EBF93" w14:textId="77777777" w:rsidR="00574E06" w:rsidRPr="006F0B05" w:rsidRDefault="00574E06" w:rsidP="00574E06">
            <w:pPr>
              <w:pStyle w:val="Prrafodelista"/>
              <w:spacing w:before="0" w:after="0" w:line="276" w:lineRule="auto"/>
              <w:ind w:left="720"/>
              <w:contextualSpacing/>
              <w:jc w:val="both"/>
              <w:rPr>
                <w:rFonts w:cs="Arial"/>
                <w:szCs w:val="24"/>
              </w:rPr>
            </w:pPr>
          </w:p>
          <w:p w14:paraId="03E82C91"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 xml:space="preserve"> Cuenta con mecanismos disponibles para denunciar violencia institucional y ginecoobstetricia.</w:t>
            </w:r>
          </w:p>
          <w:p w14:paraId="7D02790F" w14:textId="77777777" w:rsidR="00574E06" w:rsidRPr="006F0B05" w:rsidRDefault="00574E06" w:rsidP="00574E06">
            <w:pPr>
              <w:pStyle w:val="Prrafodelista"/>
              <w:spacing w:before="0" w:after="0" w:line="276" w:lineRule="auto"/>
              <w:ind w:left="720"/>
              <w:contextualSpacing/>
              <w:jc w:val="both"/>
              <w:rPr>
                <w:rFonts w:cs="Arial"/>
                <w:szCs w:val="24"/>
              </w:rPr>
            </w:pPr>
          </w:p>
          <w:p w14:paraId="62EB321A"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que las Entidades de Aseguramiento en Salud cuenten con una red de prestadores de servicios de salud y proveedores de tecnologías en salud que garanticen el acceso en los diferentes niveles de complejidad y distintas modalidades para la atención en salud de la IVE.</w:t>
            </w:r>
          </w:p>
          <w:p w14:paraId="73EE00CF" w14:textId="77777777" w:rsidR="00574E06" w:rsidRPr="006F0B05" w:rsidRDefault="00574E06" w:rsidP="00574E06">
            <w:pPr>
              <w:pStyle w:val="Prrafodelista"/>
              <w:spacing w:before="0" w:after="0" w:line="276" w:lineRule="auto"/>
              <w:ind w:left="720"/>
              <w:contextualSpacing/>
              <w:jc w:val="both"/>
              <w:rPr>
                <w:rFonts w:cs="Arial"/>
                <w:szCs w:val="24"/>
              </w:rPr>
            </w:pPr>
          </w:p>
          <w:p w14:paraId="0CA1FE96"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lastRenderedPageBreak/>
              <w:t xml:space="preserve"> Vigila que las Entidades de Aseguramiento en Salud (EAS) cuenten con la caracterización de las mujeres y personas gestantes de su población.</w:t>
            </w:r>
          </w:p>
          <w:p w14:paraId="3DB07DDC" w14:textId="77777777" w:rsidR="00574E06" w:rsidRPr="006F0B05" w:rsidRDefault="00574E06" w:rsidP="00574E06">
            <w:pPr>
              <w:pStyle w:val="Prrafodelista"/>
              <w:spacing w:before="0" w:after="0" w:line="276" w:lineRule="auto"/>
              <w:ind w:left="720"/>
              <w:contextualSpacing/>
              <w:jc w:val="both"/>
              <w:rPr>
                <w:rFonts w:cs="Arial"/>
                <w:szCs w:val="24"/>
              </w:rPr>
            </w:pPr>
          </w:p>
          <w:p w14:paraId="36D931B2"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que las Entidades de Aseguramiento en Salud (EAS) cuenten con los mecanismos de referencia y contrarreferencia, que articulen la red de prestación de servicios en los diferentes niveles de complejidad que garantice la atención integral en salud de la IVE.</w:t>
            </w:r>
          </w:p>
          <w:p w14:paraId="45544C29" w14:textId="77777777" w:rsidR="00574E06" w:rsidRPr="006F0B05" w:rsidRDefault="00574E06" w:rsidP="00574E06">
            <w:pPr>
              <w:pStyle w:val="Prrafodelista"/>
              <w:spacing w:before="0" w:after="0" w:line="276" w:lineRule="auto"/>
              <w:ind w:left="720"/>
              <w:contextualSpacing/>
              <w:jc w:val="both"/>
              <w:rPr>
                <w:rFonts w:cs="Arial"/>
                <w:szCs w:val="24"/>
              </w:rPr>
            </w:pPr>
          </w:p>
          <w:p w14:paraId="4DFA9A35"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Monitorea las acciones de inspección y vigilancia frente al seguimiento que las EAS realizan a su red de prestación de servicios de salud respecto de la adherencia a las guías y lineamientos relacionados con la interrupción voluntaria del embarazo – IVE.</w:t>
            </w:r>
          </w:p>
          <w:p w14:paraId="21FAD0E0" w14:textId="77777777" w:rsidR="00574E06" w:rsidRPr="006F0B05" w:rsidRDefault="00574E06" w:rsidP="00574E06">
            <w:pPr>
              <w:pStyle w:val="Prrafodelista"/>
              <w:spacing w:before="0" w:after="0" w:line="276" w:lineRule="auto"/>
              <w:ind w:left="720"/>
              <w:contextualSpacing/>
              <w:jc w:val="both"/>
              <w:rPr>
                <w:rFonts w:cs="Arial"/>
                <w:szCs w:val="24"/>
              </w:rPr>
            </w:pPr>
          </w:p>
          <w:p w14:paraId="2E2BF140"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 xml:space="preserve">Vigila que se tenga implementado un canal de comunicación inmediato entre el Gestor Farmacéutico, la IPS y la EAS para efectos de garantizar la oportuna prestación de la IVE. </w:t>
            </w:r>
          </w:p>
          <w:p w14:paraId="66D2EFDA" w14:textId="77777777" w:rsidR="00574E06" w:rsidRPr="006F0B05" w:rsidRDefault="00574E06" w:rsidP="00574E06">
            <w:pPr>
              <w:pStyle w:val="Prrafodelista"/>
              <w:spacing w:before="0" w:after="0" w:line="276" w:lineRule="auto"/>
              <w:ind w:left="720"/>
              <w:contextualSpacing/>
              <w:jc w:val="both"/>
              <w:rPr>
                <w:rFonts w:cs="Arial"/>
                <w:szCs w:val="24"/>
              </w:rPr>
            </w:pPr>
          </w:p>
          <w:p w14:paraId="45486299"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Realiza seguimiento a las EAS y a su red contratada frente a imposición de barreras administrativas y prácticas discriminatorias detectadas para el acceso a la IVE.</w:t>
            </w:r>
          </w:p>
          <w:p w14:paraId="04FB70B6" w14:textId="77777777" w:rsidR="00574E06" w:rsidRPr="006F0B05" w:rsidRDefault="00574E06" w:rsidP="00574E06">
            <w:pPr>
              <w:pStyle w:val="Prrafodelista"/>
              <w:spacing w:before="0" w:after="0" w:line="276" w:lineRule="auto"/>
              <w:ind w:left="720"/>
              <w:contextualSpacing/>
              <w:jc w:val="both"/>
              <w:rPr>
                <w:rFonts w:cs="Arial"/>
                <w:szCs w:val="24"/>
              </w:rPr>
            </w:pPr>
          </w:p>
          <w:p w14:paraId="3D1FA386"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Monitorea acciones de inspección vigilancia y control realizadas por la ET frente a las barreras administrativas y prácticas discriminatorias detectadas, así como a la no adherencia a las guías y lineamientos relacionados con la interrupción voluntaria del embarazo - IVE.</w:t>
            </w:r>
          </w:p>
          <w:p w14:paraId="01D1285F" w14:textId="77777777" w:rsidR="00574E06" w:rsidRPr="006F0B05" w:rsidRDefault="00574E06" w:rsidP="00574E06">
            <w:pPr>
              <w:pStyle w:val="Prrafodelista"/>
              <w:spacing w:before="0" w:after="0" w:line="276" w:lineRule="auto"/>
              <w:ind w:left="720"/>
              <w:contextualSpacing/>
              <w:jc w:val="both"/>
              <w:rPr>
                <w:rFonts w:cs="Arial"/>
                <w:szCs w:val="24"/>
              </w:rPr>
            </w:pPr>
          </w:p>
          <w:p w14:paraId="50066C13"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y monitorea que los prestadores de servicios en salud y las entidades de aseguramiento en salud garanticen el acceso efectivo e inmediato a la IVE, por ser esencial y urgente. Solo en casos excepcionales y justificados, se podrá prever un plazo de hasta cinco (5) días, de acuerdo con lo establecido en la Resolución 051 de 2023 y aquella que la modifique, adicione y/o sustituya, y dicha manifestación será registrada en la historia clínica.</w:t>
            </w:r>
          </w:p>
          <w:p w14:paraId="216CEB26" w14:textId="77777777" w:rsidR="00574E06" w:rsidRPr="006F0B05" w:rsidRDefault="00574E06" w:rsidP="00574E06">
            <w:pPr>
              <w:pStyle w:val="Prrafodelista"/>
              <w:spacing w:before="0" w:after="0" w:line="276" w:lineRule="auto"/>
              <w:ind w:left="720"/>
              <w:contextualSpacing/>
              <w:jc w:val="both"/>
              <w:rPr>
                <w:rFonts w:cs="Arial"/>
                <w:szCs w:val="24"/>
              </w:rPr>
            </w:pPr>
          </w:p>
          <w:p w14:paraId="6A85DDE7"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lastRenderedPageBreak/>
              <w:t xml:space="preserve">La DTS realiza IVC al cumplimiento de las condiciones de habilitación de la red prestadora de servicios de salud que garantiza la intervención individual frente a la IVE. </w:t>
            </w:r>
          </w:p>
          <w:p w14:paraId="2C9EE39A" w14:textId="77777777" w:rsidR="00574E06" w:rsidRPr="006F0B05" w:rsidRDefault="00574E06" w:rsidP="00574E06">
            <w:pPr>
              <w:pStyle w:val="Prrafodelista"/>
              <w:spacing w:before="0" w:after="0" w:line="276" w:lineRule="auto"/>
              <w:ind w:left="720"/>
              <w:contextualSpacing/>
              <w:jc w:val="both"/>
              <w:rPr>
                <w:rFonts w:cs="Arial"/>
                <w:szCs w:val="24"/>
              </w:rPr>
            </w:pPr>
          </w:p>
          <w:p w14:paraId="668E4803"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 xml:space="preserve"> La DTS realiza verificación que la red prestadora de servicios de salud garantiza la intervención individual frente a la IVE, que incluya la verificación de lo relacionado con los apoyos y ajustes razonables para la garantía al acceso de las personas con discapacidad.</w:t>
            </w:r>
          </w:p>
          <w:p w14:paraId="7B6D7659" w14:textId="77777777" w:rsidR="00574E06" w:rsidRPr="006F0B05" w:rsidRDefault="00574E06" w:rsidP="00574E06">
            <w:pPr>
              <w:pStyle w:val="Prrafodelista"/>
              <w:spacing w:before="0" w:after="0" w:line="276" w:lineRule="auto"/>
              <w:ind w:left="720"/>
              <w:contextualSpacing/>
              <w:jc w:val="both"/>
              <w:rPr>
                <w:rFonts w:cs="Arial"/>
                <w:szCs w:val="24"/>
              </w:rPr>
            </w:pPr>
          </w:p>
          <w:p w14:paraId="31623DAD"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que los prestadores de servicios de salud de su territorio no nieguen la IVE justificando objeción de conciencia institucional.</w:t>
            </w:r>
          </w:p>
          <w:p w14:paraId="20E4EDBE" w14:textId="77777777" w:rsidR="00574E06" w:rsidRPr="006F0B05" w:rsidRDefault="00574E06" w:rsidP="00574E06">
            <w:pPr>
              <w:pStyle w:val="Prrafodelista"/>
              <w:spacing w:before="0" w:after="0" w:line="276" w:lineRule="auto"/>
              <w:ind w:left="720"/>
              <w:contextualSpacing/>
              <w:jc w:val="both"/>
              <w:rPr>
                <w:rFonts w:cs="Arial"/>
                <w:szCs w:val="24"/>
              </w:rPr>
            </w:pPr>
          </w:p>
          <w:p w14:paraId="098147FA"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Realiza acciones de IVC a los prestadores de servicios de salud, en los diferentes niveles de complejidad, verificando que se garanticen el acceso a la atención integral y con calidad de la IVE en cualquier etapa del embarazo por parte de las mujeres y personas gestantes que lo soliciten de manera voluntaria.</w:t>
            </w:r>
          </w:p>
          <w:p w14:paraId="3FB2ECE8" w14:textId="77777777" w:rsidR="00574E06" w:rsidRPr="006F0B05" w:rsidRDefault="00574E06" w:rsidP="00574E06">
            <w:pPr>
              <w:pStyle w:val="Prrafodelista"/>
              <w:spacing w:before="0" w:after="0" w:line="276" w:lineRule="auto"/>
              <w:ind w:left="720"/>
              <w:contextualSpacing/>
              <w:jc w:val="both"/>
              <w:rPr>
                <w:rFonts w:cs="Arial"/>
                <w:szCs w:val="24"/>
              </w:rPr>
            </w:pPr>
          </w:p>
          <w:p w14:paraId="4E3744C4"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que cuando se trate de embarazos después de la vigésimo cuarta (24) semana, haya sido identificada una de las causales definidas por la Corte Constitucional, la cual o las cuales deben quedar debidamente registradas en la historia clínica.</w:t>
            </w:r>
          </w:p>
          <w:p w14:paraId="3955EDCB" w14:textId="77777777" w:rsidR="00574E06" w:rsidRPr="006F0B05" w:rsidRDefault="00574E06" w:rsidP="00574E06">
            <w:pPr>
              <w:pStyle w:val="Prrafodelista"/>
              <w:spacing w:before="0" w:after="0" w:line="276" w:lineRule="auto"/>
              <w:ind w:left="720"/>
              <w:contextualSpacing/>
              <w:jc w:val="both"/>
              <w:rPr>
                <w:rFonts w:cs="Arial"/>
                <w:szCs w:val="24"/>
              </w:rPr>
            </w:pPr>
          </w:p>
          <w:p w14:paraId="30904F60"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Verifica que para las atenciones e intervenciones de la IVE el prestador cuente con profesionales de salud no objetores de conciencia competentes, idóneos y capacitados que garanticen el acceso al procedimiento, brinden la orientación y asesoría si se requiere.</w:t>
            </w:r>
          </w:p>
          <w:p w14:paraId="2B41EC6B" w14:textId="77777777" w:rsidR="00574E06" w:rsidRPr="006F0B05" w:rsidRDefault="00574E06" w:rsidP="00574E06">
            <w:pPr>
              <w:pStyle w:val="Prrafodelista"/>
              <w:spacing w:before="0" w:after="0" w:line="276" w:lineRule="auto"/>
              <w:ind w:left="720"/>
              <w:contextualSpacing/>
              <w:jc w:val="both"/>
              <w:rPr>
                <w:rFonts w:cs="Arial"/>
                <w:szCs w:val="24"/>
              </w:rPr>
            </w:pPr>
          </w:p>
          <w:p w14:paraId="1B1796D8"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el cumplimiento de las atenciones incluidas para la IVE tales como: consulta inicial de valoración integral, información, orientación y asesoría para la toma informada de decisiones, provisión de la IVE mediante los métodos disponibles y recomendados, asesoría y provisión anticonceptiva y consulta de control en caso de ser requerido, de acuerdo con lo establecido en la Resolución 3280 de 2018 y 051 de 2023, la ruta de atención integral IVE y toda normatividad que modifique, adicionen y/o sustituya lineamientos frente al tema.</w:t>
            </w:r>
          </w:p>
          <w:p w14:paraId="7302AB5E" w14:textId="77777777" w:rsidR="00574E06" w:rsidRPr="006F0B05" w:rsidRDefault="00574E06" w:rsidP="00574E06">
            <w:pPr>
              <w:pStyle w:val="Prrafodelista"/>
              <w:spacing w:before="0" w:after="0" w:line="276" w:lineRule="auto"/>
              <w:ind w:left="720"/>
              <w:contextualSpacing/>
              <w:jc w:val="both"/>
              <w:rPr>
                <w:rFonts w:cs="Arial"/>
                <w:szCs w:val="24"/>
              </w:rPr>
            </w:pPr>
          </w:p>
          <w:p w14:paraId="48751941"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la garantía de los derechos sexuales y reproductivos donde se incluya información oportuna, suficiente y adecuada en materia reproductiva, derecho a la intimidad y confidencialidad por parte de los profesionales de la salud, derecho a un diagnóstico oportuno y actual sobre el estado y condiciones del embarazo, el derecho a la autonomía reproductiva y a una vida libre de violencias.</w:t>
            </w:r>
          </w:p>
          <w:p w14:paraId="4F569FDD" w14:textId="77777777" w:rsidR="00574E06" w:rsidRPr="006F0B05" w:rsidRDefault="00574E06" w:rsidP="00574E06">
            <w:pPr>
              <w:pStyle w:val="Prrafodelista"/>
              <w:spacing w:before="0" w:after="0" w:line="276" w:lineRule="auto"/>
              <w:ind w:left="720"/>
              <w:contextualSpacing/>
              <w:jc w:val="both"/>
              <w:rPr>
                <w:rFonts w:cs="Arial"/>
                <w:szCs w:val="24"/>
              </w:rPr>
            </w:pPr>
          </w:p>
          <w:p w14:paraId="493FC58A" w14:textId="77777777" w:rsidR="00574E06" w:rsidRPr="006F0B05" w:rsidRDefault="00574E06" w:rsidP="00574E06">
            <w:pPr>
              <w:pStyle w:val="Prrafodelista"/>
              <w:numPr>
                <w:ilvl w:val="0"/>
                <w:numId w:val="23"/>
              </w:numPr>
              <w:spacing w:before="0" w:after="0" w:line="276" w:lineRule="auto"/>
              <w:contextualSpacing/>
              <w:jc w:val="both"/>
              <w:rPr>
                <w:rFonts w:cs="Arial"/>
                <w:szCs w:val="24"/>
              </w:rPr>
            </w:pPr>
            <w:r w:rsidRPr="006F0B05">
              <w:rPr>
                <w:rFonts w:cs="Arial"/>
                <w:szCs w:val="24"/>
              </w:rPr>
              <w:t>Vigila el acceso a la asesoría en salud sexual y reproductiva y el suministro del método anticonceptivo en el marco de los derechos sexuales y reproductivos, donde se brinde información y educación en condiciones de elegibilidad, libertad, equidad y que permitan el acceso a un método anticonceptivo.</w:t>
            </w:r>
          </w:p>
          <w:p w14:paraId="2E8A1A52" w14:textId="77777777" w:rsidR="00574E06" w:rsidRPr="006F0B05" w:rsidRDefault="00574E06" w:rsidP="00574E06">
            <w:pPr>
              <w:spacing w:before="0" w:after="0" w:line="276" w:lineRule="auto"/>
              <w:jc w:val="both"/>
              <w:rPr>
                <w:rFonts w:cs="Arial"/>
                <w:szCs w:val="24"/>
              </w:rPr>
            </w:pPr>
          </w:p>
          <w:p w14:paraId="032097CE" w14:textId="77777777" w:rsidR="00574E06" w:rsidRPr="006F0B05" w:rsidRDefault="00574E06" w:rsidP="00574E06">
            <w:pPr>
              <w:spacing w:before="0" w:after="0" w:line="276" w:lineRule="auto"/>
              <w:jc w:val="both"/>
              <w:rPr>
                <w:rFonts w:cs="Arial"/>
                <w:b/>
                <w:i/>
                <w:color w:val="FF0000"/>
                <w:szCs w:val="24"/>
              </w:rPr>
            </w:pPr>
            <w:r w:rsidRPr="006F0B05">
              <w:rPr>
                <w:rFonts w:cs="Arial"/>
                <w:szCs w:val="24"/>
              </w:rPr>
              <w:t>Aplicada la herramienta de verificación, se obtuvieron los siguientes resultados</w:t>
            </w:r>
            <w:r w:rsidRPr="006F0B05">
              <w:rPr>
                <w:rFonts w:cs="Arial"/>
                <w:color w:val="808080" w:themeColor="background1" w:themeShade="80"/>
                <w:szCs w:val="24"/>
              </w:rPr>
              <w:t>:</w:t>
            </w:r>
            <w:r w:rsidRPr="006F0B05">
              <w:rPr>
                <w:rFonts w:cs="Arial"/>
                <w:b/>
                <w:bCs/>
                <w:i/>
                <w:iCs/>
                <w:color w:val="808080" w:themeColor="background1" w:themeShade="80"/>
                <w:szCs w:val="24"/>
              </w:rPr>
              <w:t xml:space="preserve"> (</w:t>
            </w:r>
            <w:r w:rsidRPr="006F0B05">
              <w:rPr>
                <w:rFonts w:cs="Arial"/>
                <w:b/>
                <w:i/>
                <w:color w:val="808080" w:themeColor="background1" w:themeShade="80"/>
                <w:szCs w:val="24"/>
              </w:rPr>
              <w:t>Diligenciar tabla con los resultados que se encuentran en la herramienta de trabajo en la hoja denominada “Resumen calificación”)</w:t>
            </w:r>
          </w:p>
          <w:p w14:paraId="4EA57B03" w14:textId="77777777" w:rsidR="00B05A17" w:rsidRPr="0098433D" w:rsidRDefault="00B05A17" w:rsidP="00707EB3">
            <w:pPr>
              <w:spacing w:before="0" w:after="0" w:line="240" w:lineRule="auto"/>
              <w:jc w:val="both"/>
              <w:rPr>
                <w:rFonts w:cs="Arial"/>
                <w:color w:val="FF0000"/>
              </w:rPr>
            </w:pPr>
            <w:r>
              <w:rPr>
                <w:rFonts w:cs="Arial"/>
                <w:color w:val="FF0000"/>
              </w:rPr>
              <w:t xml:space="preserve"> </w:t>
            </w:r>
          </w:p>
          <w:tbl>
            <w:tblPr>
              <w:tblW w:w="0" w:type="auto"/>
              <w:tblLayout w:type="fixed"/>
              <w:tblCellMar>
                <w:left w:w="70" w:type="dxa"/>
                <w:right w:w="70" w:type="dxa"/>
              </w:tblCellMar>
              <w:tblLook w:val="04A0" w:firstRow="1" w:lastRow="0" w:firstColumn="1" w:lastColumn="0" w:noHBand="0" w:noVBand="1"/>
            </w:tblPr>
            <w:tblGrid>
              <w:gridCol w:w="241"/>
              <w:gridCol w:w="1472"/>
              <w:gridCol w:w="1134"/>
              <w:gridCol w:w="1134"/>
              <w:gridCol w:w="1134"/>
              <w:gridCol w:w="1134"/>
              <w:gridCol w:w="1134"/>
              <w:gridCol w:w="1209"/>
            </w:tblGrid>
            <w:tr w:rsidR="00B05A17" w:rsidRPr="00C64FAF" w14:paraId="1C17E504" w14:textId="77777777" w:rsidTr="00707EB3">
              <w:trPr>
                <w:trHeight w:val="619"/>
                <w:tblHeader/>
              </w:trPr>
              <w:tc>
                <w:tcPr>
                  <w:tcW w:w="1713" w:type="dxa"/>
                  <w:gridSpan w:val="2"/>
                  <w:tcBorders>
                    <w:top w:val="single" w:sz="8" w:space="0" w:color="auto"/>
                    <w:left w:val="single" w:sz="8" w:space="0" w:color="auto"/>
                    <w:bottom w:val="single" w:sz="8" w:space="0" w:color="auto"/>
                    <w:right w:val="single" w:sz="4" w:space="0" w:color="auto"/>
                  </w:tcBorders>
                  <w:noWrap/>
                  <w:vAlign w:val="center"/>
                  <w:hideMark/>
                </w:tcPr>
                <w:p w14:paraId="3D6D0C6A"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Parámetros</w:t>
                  </w:r>
                </w:p>
              </w:tc>
              <w:tc>
                <w:tcPr>
                  <w:tcW w:w="1134" w:type="dxa"/>
                  <w:tcBorders>
                    <w:top w:val="single" w:sz="8" w:space="0" w:color="auto"/>
                    <w:left w:val="single" w:sz="8" w:space="0" w:color="auto"/>
                    <w:bottom w:val="single" w:sz="8" w:space="0" w:color="auto"/>
                    <w:right w:val="single" w:sz="4" w:space="0" w:color="auto"/>
                  </w:tcBorders>
                  <w:vAlign w:val="center"/>
                  <w:hideMark/>
                </w:tcPr>
                <w:p w14:paraId="1B820EAF"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Número de Criterios</w:t>
                  </w:r>
                </w:p>
              </w:tc>
              <w:tc>
                <w:tcPr>
                  <w:tcW w:w="1134" w:type="dxa"/>
                  <w:tcBorders>
                    <w:top w:val="single" w:sz="8" w:space="0" w:color="auto"/>
                    <w:left w:val="nil"/>
                    <w:bottom w:val="single" w:sz="8" w:space="0" w:color="auto"/>
                    <w:right w:val="single" w:sz="4" w:space="0" w:color="auto"/>
                  </w:tcBorders>
                  <w:vAlign w:val="center"/>
                  <w:hideMark/>
                </w:tcPr>
                <w:p w14:paraId="677A10AF"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Valor porcentual por Criterio</w:t>
                  </w:r>
                </w:p>
              </w:tc>
              <w:tc>
                <w:tcPr>
                  <w:tcW w:w="1134" w:type="dxa"/>
                  <w:tcBorders>
                    <w:top w:val="single" w:sz="8" w:space="0" w:color="auto"/>
                    <w:left w:val="nil"/>
                    <w:bottom w:val="single" w:sz="8" w:space="0" w:color="auto"/>
                    <w:right w:val="nil"/>
                  </w:tcBorders>
                  <w:vAlign w:val="center"/>
                  <w:hideMark/>
                </w:tcPr>
                <w:p w14:paraId="50DF03DB"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proofErr w:type="gramStart"/>
                  <w:r w:rsidRPr="00C64FAF">
                    <w:rPr>
                      <w:rFonts w:eastAsia="Times New Roman" w:cs="Arial"/>
                      <w:b/>
                      <w:color w:val="000000"/>
                      <w:sz w:val="18"/>
                      <w:szCs w:val="18"/>
                      <w:lang w:eastAsia="es-CO"/>
                    </w:rPr>
                    <w:t>Total</w:t>
                  </w:r>
                  <w:proofErr w:type="gramEnd"/>
                  <w:r w:rsidRPr="00C64FAF">
                    <w:rPr>
                      <w:rFonts w:eastAsia="Times New Roman" w:cs="Arial"/>
                      <w:b/>
                      <w:color w:val="000000"/>
                      <w:sz w:val="18"/>
                      <w:szCs w:val="18"/>
                      <w:lang w:eastAsia="es-CO"/>
                    </w:rPr>
                    <w:t xml:space="preserve"> Porcentual del Parámetro</w:t>
                  </w:r>
                </w:p>
              </w:tc>
              <w:tc>
                <w:tcPr>
                  <w:tcW w:w="1134" w:type="dxa"/>
                  <w:tcBorders>
                    <w:top w:val="single" w:sz="8" w:space="0" w:color="auto"/>
                    <w:left w:val="single" w:sz="8" w:space="0" w:color="auto"/>
                    <w:bottom w:val="single" w:sz="8" w:space="0" w:color="auto"/>
                    <w:right w:val="single" w:sz="4" w:space="0" w:color="auto"/>
                  </w:tcBorders>
                  <w:vAlign w:val="center"/>
                  <w:hideMark/>
                </w:tcPr>
                <w:p w14:paraId="16A3D32F"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Criterios con Cumplimiento</w:t>
                  </w:r>
                </w:p>
              </w:tc>
              <w:tc>
                <w:tcPr>
                  <w:tcW w:w="1134" w:type="dxa"/>
                  <w:tcBorders>
                    <w:top w:val="single" w:sz="8" w:space="0" w:color="auto"/>
                    <w:left w:val="nil"/>
                    <w:bottom w:val="single" w:sz="8" w:space="0" w:color="auto"/>
                    <w:right w:val="single" w:sz="4" w:space="0" w:color="auto"/>
                  </w:tcBorders>
                  <w:vAlign w:val="center"/>
                  <w:hideMark/>
                </w:tcPr>
                <w:p w14:paraId="25E977C2"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Criterios Incumplidos</w:t>
                  </w:r>
                </w:p>
              </w:tc>
              <w:tc>
                <w:tcPr>
                  <w:tcW w:w="1209" w:type="dxa"/>
                  <w:tcBorders>
                    <w:top w:val="single" w:sz="8" w:space="0" w:color="auto"/>
                    <w:left w:val="nil"/>
                    <w:bottom w:val="single" w:sz="8" w:space="0" w:color="auto"/>
                    <w:right w:val="single" w:sz="8" w:space="0" w:color="auto"/>
                  </w:tcBorders>
                  <w:vAlign w:val="center"/>
                  <w:hideMark/>
                </w:tcPr>
                <w:p w14:paraId="08A42479"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Porcentaje de Cumplimiento</w:t>
                  </w:r>
                </w:p>
              </w:tc>
            </w:tr>
            <w:tr w:rsidR="00B05A17" w:rsidRPr="00C64FAF" w14:paraId="6F285ABB" w14:textId="77777777" w:rsidTr="00707EB3">
              <w:trPr>
                <w:trHeight w:val="619"/>
              </w:trPr>
              <w:tc>
                <w:tcPr>
                  <w:tcW w:w="241" w:type="dxa"/>
                  <w:tcBorders>
                    <w:top w:val="nil"/>
                    <w:left w:val="single" w:sz="8" w:space="0" w:color="auto"/>
                    <w:bottom w:val="single" w:sz="4" w:space="0" w:color="auto"/>
                    <w:right w:val="single" w:sz="4" w:space="0" w:color="auto"/>
                  </w:tcBorders>
                  <w:noWrap/>
                  <w:vAlign w:val="center"/>
                  <w:hideMark/>
                </w:tcPr>
                <w:p w14:paraId="5BB980A0"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1</w:t>
                  </w:r>
                </w:p>
              </w:tc>
              <w:tc>
                <w:tcPr>
                  <w:tcW w:w="1472" w:type="dxa"/>
                  <w:tcBorders>
                    <w:top w:val="nil"/>
                    <w:left w:val="nil"/>
                    <w:bottom w:val="single" w:sz="4" w:space="0" w:color="auto"/>
                    <w:right w:val="nil"/>
                  </w:tcBorders>
                  <w:vAlign w:val="center"/>
                  <w:hideMark/>
                </w:tcPr>
                <w:p w14:paraId="76886079" w14:textId="77777777" w:rsidR="00B05A17" w:rsidRPr="00C64FAF" w:rsidRDefault="00B05A17" w:rsidP="00707EB3">
                  <w:pPr>
                    <w:spacing w:before="0" w:after="0" w:line="240" w:lineRule="auto"/>
                    <w:contextualSpacing/>
                    <w:jc w:val="both"/>
                    <w:rPr>
                      <w:rFonts w:eastAsia="Times New Roman" w:cs="Arial"/>
                      <w:color w:val="000000"/>
                      <w:sz w:val="18"/>
                      <w:szCs w:val="18"/>
                      <w:lang w:eastAsia="es-CO"/>
                    </w:rPr>
                  </w:pPr>
                  <w:r w:rsidRPr="00C64FAF">
                    <w:rPr>
                      <w:rFonts w:eastAsia="Times New Roman" w:cs="Arial"/>
                      <w:b/>
                      <w:color w:val="000000"/>
                      <w:sz w:val="18"/>
                      <w:szCs w:val="18"/>
                      <w:lang w:eastAsia="es-CO"/>
                    </w:rPr>
                    <w:t>Parámetro 1.</w:t>
                  </w:r>
                  <w:r w:rsidRPr="00C64FAF">
                    <w:rPr>
                      <w:rFonts w:eastAsia="Times New Roman" w:cs="Arial"/>
                      <w:color w:val="000000"/>
                      <w:sz w:val="18"/>
                      <w:szCs w:val="18"/>
                      <w:lang w:eastAsia="es-CO"/>
                    </w:rPr>
                    <w:t xml:space="preserve"> Gestión de la Entidad Territorial.</w:t>
                  </w:r>
                </w:p>
              </w:tc>
              <w:tc>
                <w:tcPr>
                  <w:tcW w:w="1134" w:type="dxa"/>
                  <w:tcBorders>
                    <w:top w:val="nil"/>
                    <w:left w:val="single" w:sz="8" w:space="0" w:color="auto"/>
                    <w:bottom w:val="single" w:sz="4" w:space="0" w:color="auto"/>
                    <w:right w:val="single" w:sz="4" w:space="0" w:color="auto"/>
                  </w:tcBorders>
                  <w:vAlign w:val="center"/>
                  <w:hideMark/>
                </w:tcPr>
                <w:p w14:paraId="68EA06CD"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10</w:t>
                  </w:r>
                </w:p>
              </w:tc>
              <w:tc>
                <w:tcPr>
                  <w:tcW w:w="1134" w:type="dxa"/>
                  <w:tcBorders>
                    <w:top w:val="nil"/>
                    <w:left w:val="nil"/>
                    <w:bottom w:val="single" w:sz="4" w:space="0" w:color="auto"/>
                    <w:right w:val="single" w:sz="4" w:space="0" w:color="auto"/>
                  </w:tcBorders>
                  <w:vAlign w:val="center"/>
                  <w:hideMark/>
                </w:tcPr>
                <w:p w14:paraId="7513E89F"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3,70%</w:t>
                  </w:r>
                </w:p>
              </w:tc>
              <w:tc>
                <w:tcPr>
                  <w:tcW w:w="1134" w:type="dxa"/>
                  <w:tcBorders>
                    <w:top w:val="nil"/>
                    <w:left w:val="nil"/>
                    <w:bottom w:val="single" w:sz="4" w:space="0" w:color="auto"/>
                    <w:right w:val="nil"/>
                  </w:tcBorders>
                  <w:vAlign w:val="center"/>
                  <w:hideMark/>
                </w:tcPr>
                <w:p w14:paraId="17D00929"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37,04%</w:t>
                  </w:r>
                </w:p>
              </w:tc>
              <w:tc>
                <w:tcPr>
                  <w:tcW w:w="1134" w:type="dxa"/>
                  <w:tcBorders>
                    <w:top w:val="nil"/>
                    <w:left w:val="single" w:sz="8" w:space="0" w:color="auto"/>
                    <w:bottom w:val="single" w:sz="4" w:space="0" w:color="auto"/>
                    <w:right w:val="single" w:sz="4" w:space="0" w:color="auto"/>
                  </w:tcBorders>
                  <w:noWrap/>
                  <w:vAlign w:val="center"/>
                </w:tcPr>
                <w:p w14:paraId="22FC24DD"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p>
              </w:tc>
              <w:tc>
                <w:tcPr>
                  <w:tcW w:w="1134" w:type="dxa"/>
                  <w:tcBorders>
                    <w:top w:val="nil"/>
                    <w:left w:val="nil"/>
                    <w:bottom w:val="single" w:sz="4" w:space="0" w:color="auto"/>
                    <w:right w:val="single" w:sz="4" w:space="0" w:color="auto"/>
                  </w:tcBorders>
                  <w:noWrap/>
                  <w:vAlign w:val="center"/>
                </w:tcPr>
                <w:p w14:paraId="3E1F0A40"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p>
              </w:tc>
              <w:tc>
                <w:tcPr>
                  <w:tcW w:w="1209" w:type="dxa"/>
                  <w:tcBorders>
                    <w:top w:val="nil"/>
                    <w:left w:val="nil"/>
                    <w:bottom w:val="single" w:sz="4" w:space="0" w:color="auto"/>
                    <w:right w:val="single" w:sz="8" w:space="0" w:color="auto"/>
                  </w:tcBorders>
                  <w:noWrap/>
                  <w:vAlign w:val="center"/>
                  <w:hideMark/>
                </w:tcPr>
                <w:p w14:paraId="47D91C88"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 </w:t>
                  </w:r>
                </w:p>
              </w:tc>
            </w:tr>
            <w:tr w:rsidR="00B05A17" w:rsidRPr="00C64FAF" w14:paraId="4721BEBB" w14:textId="77777777" w:rsidTr="00707EB3">
              <w:trPr>
                <w:trHeight w:val="619"/>
              </w:trPr>
              <w:tc>
                <w:tcPr>
                  <w:tcW w:w="241" w:type="dxa"/>
                  <w:tcBorders>
                    <w:top w:val="nil"/>
                    <w:left w:val="single" w:sz="8" w:space="0" w:color="auto"/>
                    <w:bottom w:val="single" w:sz="4" w:space="0" w:color="auto"/>
                    <w:right w:val="single" w:sz="4" w:space="0" w:color="auto"/>
                  </w:tcBorders>
                  <w:noWrap/>
                  <w:vAlign w:val="center"/>
                  <w:hideMark/>
                </w:tcPr>
                <w:p w14:paraId="7A2DA327"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2</w:t>
                  </w:r>
                </w:p>
              </w:tc>
              <w:tc>
                <w:tcPr>
                  <w:tcW w:w="1472" w:type="dxa"/>
                  <w:tcBorders>
                    <w:top w:val="nil"/>
                    <w:left w:val="nil"/>
                    <w:bottom w:val="single" w:sz="4" w:space="0" w:color="auto"/>
                    <w:right w:val="nil"/>
                  </w:tcBorders>
                  <w:vAlign w:val="center"/>
                  <w:hideMark/>
                </w:tcPr>
                <w:p w14:paraId="43D90CAC" w14:textId="77777777" w:rsidR="00B05A17" w:rsidRPr="00C64FAF" w:rsidRDefault="00B05A17" w:rsidP="00707EB3">
                  <w:pPr>
                    <w:spacing w:before="0" w:after="0" w:line="240" w:lineRule="auto"/>
                    <w:contextualSpacing/>
                    <w:jc w:val="both"/>
                    <w:rPr>
                      <w:rFonts w:eastAsia="Times New Roman" w:cs="Arial"/>
                      <w:color w:val="000000"/>
                      <w:sz w:val="18"/>
                      <w:szCs w:val="18"/>
                      <w:lang w:eastAsia="es-CO"/>
                    </w:rPr>
                  </w:pPr>
                  <w:r w:rsidRPr="00C64FAF">
                    <w:rPr>
                      <w:rFonts w:eastAsia="Times New Roman" w:cs="Arial"/>
                      <w:b/>
                      <w:color w:val="000000"/>
                      <w:sz w:val="18"/>
                      <w:szCs w:val="18"/>
                      <w:lang w:eastAsia="es-CO"/>
                    </w:rPr>
                    <w:t>Parámetro 2.</w:t>
                  </w:r>
                  <w:r w:rsidRPr="00C64FAF">
                    <w:rPr>
                      <w:rFonts w:eastAsia="Times New Roman" w:cs="Arial"/>
                      <w:color w:val="000000"/>
                      <w:sz w:val="18"/>
                      <w:szCs w:val="18"/>
                      <w:lang w:eastAsia="es-CO"/>
                    </w:rPr>
                    <w:t xml:space="preserve"> Acciones de Inspección, Vigilancia a las Entidades de Aseguramiento en Salud.</w:t>
                  </w:r>
                </w:p>
              </w:tc>
              <w:tc>
                <w:tcPr>
                  <w:tcW w:w="1134" w:type="dxa"/>
                  <w:tcBorders>
                    <w:top w:val="nil"/>
                    <w:left w:val="single" w:sz="8" w:space="0" w:color="auto"/>
                    <w:bottom w:val="single" w:sz="4" w:space="0" w:color="auto"/>
                    <w:right w:val="single" w:sz="4" w:space="0" w:color="auto"/>
                  </w:tcBorders>
                  <w:vAlign w:val="center"/>
                  <w:hideMark/>
                </w:tcPr>
                <w:p w14:paraId="78C805E9"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8</w:t>
                  </w:r>
                </w:p>
              </w:tc>
              <w:tc>
                <w:tcPr>
                  <w:tcW w:w="1134" w:type="dxa"/>
                  <w:tcBorders>
                    <w:top w:val="nil"/>
                    <w:left w:val="nil"/>
                    <w:bottom w:val="single" w:sz="4" w:space="0" w:color="auto"/>
                    <w:right w:val="single" w:sz="4" w:space="0" w:color="auto"/>
                  </w:tcBorders>
                  <w:vAlign w:val="center"/>
                  <w:hideMark/>
                </w:tcPr>
                <w:p w14:paraId="2C97BD46"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3,70%</w:t>
                  </w:r>
                </w:p>
              </w:tc>
              <w:tc>
                <w:tcPr>
                  <w:tcW w:w="1134" w:type="dxa"/>
                  <w:tcBorders>
                    <w:top w:val="nil"/>
                    <w:left w:val="nil"/>
                    <w:bottom w:val="single" w:sz="4" w:space="0" w:color="auto"/>
                    <w:right w:val="nil"/>
                  </w:tcBorders>
                  <w:vAlign w:val="center"/>
                  <w:hideMark/>
                </w:tcPr>
                <w:p w14:paraId="5444E332"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29,63%</w:t>
                  </w:r>
                </w:p>
              </w:tc>
              <w:tc>
                <w:tcPr>
                  <w:tcW w:w="1134" w:type="dxa"/>
                  <w:tcBorders>
                    <w:top w:val="nil"/>
                    <w:left w:val="single" w:sz="8" w:space="0" w:color="auto"/>
                    <w:bottom w:val="single" w:sz="4" w:space="0" w:color="auto"/>
                    <w:right w:val="single" w:sz="4" w:space="0" w:color="auto"/>
                  </w:tcBorders>
                  <w:noWrap/>
                  <w:vAlign w:val="center"/>
                </w:tcPr>
                <w:p w14:paraId="71CCDAEA"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p>
              </w:tc>
              <w:tc>
                <w:tcPr>
                  <w:tcW w:w="1134" w:type="dxa"/>
                  <w:tcBorders>
                    <w:top w:val="nil"/>
                    <w:left w:val="nil"/>
                    <w:bottom w:val="single" w:sz="4" w:space="0" w:color="auto"/>
                    <w:right w:val="single" w:sz="4" w:space="0" w:color="auto"/>
                  </w:tcBorders>
                  <w:noWrap/>
                  <w:vAlign w:val="center"/>
                </w:tcPr>
                <w:p w14:paraId="5AF73679"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p>
              </w:tc>
              <w:tc>
                <w:tcPr>
                  <w:tcW w:w="1209" w:type="dxa"/>
                  <w:tcBorders>
                    <w:top w:val="nil"/>
                    <w:left w:val="nil"/>
                    <w:bottom w:val="single" w:sz="4" w:space="0" w:color="auto"/>
                    <w:right w:val="single" w:sz="8" w:space="0" w:color="auto"/>
                  </w:tcBorders>
                  <w:noWrap/>
                  <w:vAlign w:val="center"/>
                  <w:hideMark/>
                </w:tcPr>
                <w:p w14:paraId="58F19659"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 </w:t>
                  </w:r>
                </w:p>
              </w:tc>
            </w:tr>
            <w:tr w:rsidR="00B05A17" w:rsidRPr="00C64FAF" w14:paraId="3BFC14F7" w14:textId="77777777" w:rsidTr="00707EB3">
              <w:trPr>
                <w:trHeight w:val="619"/>
              </w:trPr>
              <w:tc>
                <w:tcPr>
                  <w:tcW w:w="241" w:type="dxa"/>
                  <w:tcBorders>
                    <w:top w:val="nil"/>
                    <w:left w:val="single" w:sz="8" w:space="0" w:color="auto"/>
                    <w:bottom w:val="single" w:sz="8" w:space="0" w:color="auto"/>
                    <w:right w:val="single" w:sz="4" w:space="0" w:color="auto"/>
                  </w:tcBorders>
                  <w:noWrap/>
                  <w:vAlign w:val="center"/>
                  <w:hideMark/>
                </w:tcPr>
                <w:p w14:paraId="749EE313"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3</w:t>
                  </w:r>
                </w:p>
              </w:tc>
              <w:tc>
                <w:tcPr>
                  <w:tcW w:w="1472" w:type="dxa"/>
                  <w:tcBorders>
                    <w:top w:val="nil"/>
                    <w:left w:val="nil"/>
                    <w:bottom w:val="single" w:sz="8" w:space="0" w:color="auto"/>
                    <w:right w:val="nil"/>
                  </w:tcBorders>
                  <w:vAlign w:val="center"/>
                  <w:hideMark/>
                </w:tcPr>
                <w:p w14:paraId="0E7A3343" w14:textId="77777777" w:rsidR="00B05A17" w:rsidRPr="00C64FAF" w:rsidRDefault="00B05A17" w:rsidP="00707EB3">
                  <w:pPr>
                    <w:spacing w:before="0" w:after="0" w:line="240" w:lineRule="auto"/>
                    <w:contextualSpacing/>
                    <w:jc w:val="both"/>
                    <w:rPr>
                      <w:rFonts w:eastAsia="Times New Roman" w:cs="Arial"/>
                      <w:color w:val="000000"/>
                      <w:sz w:val="18"/>
                      <w:szCs w:val="18"/>
                      <w:lang w:eastAsia="es-CO"/>
                    </w:rPr>
                  </w:pPr>
                  <w:r w:rsidRPr="00C64FAF">
                    <w:rPr>
                      <w:rFonts w:eastAsia="Times New Roman" w:cs="Arial"/>
                      <w:b/>
                      <w:color w:val="000000"/>
                      <w:sz w:val="18"/>
                      <w:szCs w:val="18"/>
                      <w:lang w:eastAsia="es-CO"/>
                    </w:rPr>
                    <w:t>Parámetro 3.</w:t>
                  </w:r>
                  <w:r w:rsidRPr="00C64FAF">
                    <w:rPr>
                      <w:rFonts w:eastAsia="Times New Roman" w:cs="Arial"/>
                      <w:color w:val="000000"/>
                      <w:sz w:val="18"/>
                      <w:szCs w:val="18"/>
                      <w:lang w:eastAsia="es-CO"/>
                    </w:rPr>
                    <w:t xml:space="preserve"> Acciones de Inspección, Vigilancia y Control a los Prestadores de Servicios de Salud.</w:t>
                  </w:r>
                </w:p>
              </w:tc>
              <w:tc>
                <w:tcPr>
                  <w:tcW w:w="1134" w:type="dxa"/>
                  <w:tcBorders>
                    <w:top w:val="nil"/>
                    <w:left w:val="single" w:sz="8" w:space="0" w:color="auto"/>
                    <w:bottom w:val="nil"/>
                    <w:right w:val="single" w:sz="4" w:space="0" w:color="auto"/>
                  </w:tcBorders>
                  <w:vAlign w:val="center"/>
                  <w:hideMark/>
                </w:tcPr>
                <w:p w14:paraId="010D3F6D"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9</w:t>
                  </w:r>
                </w:p>
              </w:tc>
              <w:tc>
                <w:tcPr>
                  <w:tcW w:w="1134" w:type="dxa"/>
                  <w:tcBorders>
                    <w:top w:val="nil"/>
                    <w:left w:val="nil"/>
                    <w:bottom w:val="nil"/>
                    <w:right w:val="single" w:sz="4" w:space="0" w:color="auto"/>
                  </w:tcBorders>
                  <w:vAlign w:val="center"/>
                  <w:hideMark/>
                </w:tcPr>
                <w:p w14:paraId="7446E0E8"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3,70%</w:t>
                  </w:r>
                </w:p>
              </w:tc>
              <w:tc>
                <w:tcPr>
                  <w:tcW w:w="1134" w:type="dxa"/>
                  <w:tcBorders>
                    <w:top w:val="nil"/>
                    <w:left w:val="nil"/>
                    <w:bottom w:val="nil"/>
                    <w:right w:val="nil"/>
                  </w:tcBorders>
                  <w:vAlign w:val="center"/>
                  <w:hideMark/>
                </w:tcPr>
                <w:p w14:paraId="5E2F19D8"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33,33%</w:t>
                  </w:r>
                </w:p>
              </w:tc>
              <w:tc>
                <w:tcPr>
                  <w:tcW w:w="1134" w:type="dxa"/>
                  <w:tcBorders>
                    <w:top w:val="nil"/>
                    <w:left w:val="single" w:sz="8" w:space="0" w:color="auto"/>
                    <w:bottom w:val="nil"/>
                    <w:right w:val="single" w:sz="4" w:space="0" w:color="auto"/>
                  </w:tcBorders>
                  <w:noWrap/>
                  <w:vAlign w:val="center"/>
                </w:tcPr>
                <w:p w14:paraId="4FFF58B2"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p>
              </w:tc>
              <w:tc>
                <w:tcPr>
                  <w:tcW w:w="1134" w:type="dxa"/>
                  <w:tcBorders>
                    <w:top w:val="nil"/>
                    <w:left w:val="nil"/>
                    <w:bottom w:val="nil"/>
                    <w:right w:val="single" w:sz="4" w:space="0" w:color="auto"/>
                  </w:tcBorders>
                  <w:noWrap/>
                  <w:vAlign w:val="center"/>
                </w:tcPr>
                <w:p w14:paraId="11FA8DB7"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p>
              </w:tc>
              <w:tc>
                <w:tcPr>
                  <w:tcW w:w="1209" w:type="dxa"/>
                  <w:tcBorders>
                    <w:top w:val="nil"/>
                    <w:left w:val="nil"/>
                    <w:bottom w:val="nil"/>
                    <w:right w:val="single" w:sz="8" w:space="0" w:color="auto"/>
                  </w:tcBorders>
                  <w:noWrap/>
                  <w:vAlign w:val="center"/>
                  <w:hideMark/>
                </w:tcPr>
                <w:p w14:paraId="541B7248" w14:textId="77777777" w:rsidR="00B05A17" w:rsidRPr="00C64FAF" w:rsidRDefault="00B05A17" w:rsidP="00707EB3">
                  <w:pPr>
                    <w:spacing w:before="0" w:after="0" w:line="240" w:lineRule="auto"/>
                    <w:contextualSpacing/>
                    <w:jc w:val="center"/>
                    <w:rPr>
                      <w:rFonts w:eastAsia="Times New Roman" w:cs="Arial"/>
                      <w:color w:val="000000"/>
                      <w:sz w:val="18"/>
                      <w:szCs w:val="18"/>
                      <w:lang w:eastAsia="es-CO"/>
                    </w:rPr>
                  </w:pPr>
                  <w:r w:rsidRPr="00C64FAF">
                    <w:rPr>
                      <w:rFonts w:eastAsia="Times New Roman" w:cs="Arial"/>
                      <w:color w:val="000000"/>
                      <w:sz w:val="18"/>
                      <w:szCs w:val="18"/>
                      <w:lang w:eastAsia="es-CO"/>
                    </w:rPr>
                    <w:t> </w:t>
                  </w:r>
                </w:p>
              </w:tc>
            </w:tr>
            <w:tr w:rsidR="00B05A17" w:rsidRPr="00C64FAF" w14:paraId="26074C1F" w14:textId="77777777" w:rsidTr="00707EB3">
              <w:trPr>
                <w:trHeight w:val="619"/>
              </w:trPr>
              <w:tc>
                <w:tcPr>
                  <w:tcW w:w="1713" w:type="dxa"/>
                  <w:gridSpan w:val="2"/>
                  <w:tcBorders>
                    <w:top w:val="single" w:sz="8" w:space="0" w:color="auto"/>
                    <w:left w:val="single" w:sz="8" w:space="0" w:color="auto"/>
                    <w:bottom w:val="single" w:sz="8" w:space="0" w:color="auto"/>
                    <w:right w:val="single" w:sz="4" w:space="0" w:color="auto"/>
                  </w:tcBorders>
                  <w:noWrap/>
                  <w:vAlign w:val="center"/>
                  <w:hideMark/>
                </w:tcPr>
                <w:p w14:paraId="50BD1548"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Total</w:t>
                  </w:r>
                </w:p>
              </w:tc>
              <w:tc>
                <w:tcPr>
                  <w:tcW w:w="1134" w:type="dxa"/>
                  <w:tcBorders>
                    <w:top w:val="single" w:sz="8" w:space="0" w:color="auto"/>
                    <w:left w:val="single" w:sz="8" w:space="0" w:color="auto"/>
                    <w:bottom w:val="single" w:sz="8" w:space="0" w:color="auto"/>
                    <w:right w:val="single" w:sz="4" w:space="0" w:color="auto"/>
                  </w:tcBorders>
                  <w:vAlign w:val="center"/>
                  <w:hideMark/>
                </w:tcPr>
                <w:p w14:paraId="00E644ED"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27</w:t>
                  </w:r>
                </w:p>
              </w:tc>
              <w:tc>
                <w:tcPr>
                  <w:tcW w:w="1134" w:type="dxa"/>
                  <w:tcBorders>
                    <w:top w:val="single" w:sz="8" w:space="0" w:color="auto"/>
                    <w:left w:val="nil"/>
                    <w:bottom w:val="single" w:sz="8" w:space="0" w:color="auto"/>
                    <w:right w:val="single" w:sz="4" w:space="0" w:color="auto"/>
                  </w:tcBorders>
                  <w:vAlign w:val="center"/>
                  <w:hideMark/>
                </w:tcPr>
                <w:p w14:paraId="1CEEDC71"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 </w:t>
                  </w:r>
                </w:p>
              </w:tc>
              <w:tc>
                <w:tcPr>
                  <w:tcW w:w="1134" w:type="dxa"/>
                  <w:tcBorders>
                    <w:top w:val="single" w:sz="8" w:space="0" w:color="auto"/>
                    <w:left w:val="nil"/>
                    <w:bottom w:val="single" w:sz="8" w:space="0" w:color="auto"/>
                    <w:right w:val="nil"/>
                  </w:tcBorders>
                  <w:vAlign w:val="center"/>
                  <w:hideMark/>
                </w:tcPr>
                <w:p w14:paraId="128B9234"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100%</w:t>
                  </w:r>
                </w:p>
              </w:tc>
              <w:tc>
                <w:tcPr>
                  <w:tcW w:w="1134" w:type="dxa"/>
                  <w:tcBorders>
                    <w:top w:val="single" w:sz="8" w:space="0" w:color="auto"/>
                    <w:left w:val="single" w:sz="8" w:space="0" w:color="auto"/>
                    <w:bottom w:val="single" w:sz="8" w:space="0" w:color="auto"/>
                    <w:right w:val="single" w:sz="4" w:space="0" w:color="auto"/>
                  </w:tcBorders>
                  <w:vAlign w:val="center"/>
                </w:tcPr>
                <w:p w14:paraId="0F7487E2"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p>
              </w:tc>
              <w:tc>
                <w:tcPr>
                  <w:tcW w:w="1134" w:type="dxa"/>
                  <w:tcBorders>
                    <w:top w:val="single" w:sz="8" w:space="0" w:color="auto"/>
                    <w:left w:val="nil"/>
                    <w:bottom w:val="single" w:sz="8" w:space="0" w:color="auto"/>
                    <w:right w:val="single" w:sz="4" w:space="0" w:color="auto"/>
                  </w:tcBorders>
                  <w:vAlign w:val="center"/>
                </w:tcPr>
                <w:p w14:paraId="048DA0AA"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p>
              </w:tc>
              <w:tc>
                <w:tcPr>
                  <w:tcW w:w="1209" w:type="dxa"/>
                  <w:tcBorders>
                    <w:top w:val="single" w:sz="8" w:space="0" w:color="auto"/>
                    <w:left w:val="nil"/>
                    <w:bottom w:val="single" w:sz="8" w:space="0" w:color="auto"/>
                    <w:right w:val="single" w:sz="8" w:space="0" w:color="auto"/>
                  </w:tcBorders>
                  <w:vAlign w:val="center"/>
                  <w:hideMark/>
                </w:tcPr>
                <w:p w14:paraId="48595464" w14:textId="77777777" w:rsidR="00B05A17" w:rsidRPr="00C64FAF" w:rsidRDefault="00B05A17" w:rsidP="00707EB3">
                  <w:pPr>
                    <w:spacing w:before="0" w:after="0" w:line="240" w:lineRule="auto"/>
                    <w:contextualSpacing/>
                    <w:jc w:val="center"/>
                    <w:rPr>
                      <w:rFonts w:eastAsia="Times New Roman" w:cs="Arial"/>
                      <w:b/>
                      <w:color w:val="000000"/>
                      <w:sz w:val="18"/>
                      <w:szCs w:val="18"/>
                      <w:lang w:eastAsia="es-CO"/>
                    </w:rPr>
                  </w:pPr>
                  <w:r w:rsidRPr="00C64FAF">
                    <w:rPr>
                      <w:rFonts w:eastAsia="Times New Roman" w:cs="Arial"/>
                      <w:b/>
                      <w:color w:val="000000"/>
                      <w:sz w:val="18"/>
                      <w:szCs w:val="18"/>
                      <w:lang w:eastAsia="es-CO"/>
                    </w:rPr>
                    <w:t>%</w:t>
                  </w:r>
                </w:p>
              </w:tc>
            </w:tr>
          </w:tbl>
          <w:p w14:paraId="00FFFD82" w14:textId="77777777" w:rsidR="00B05A17" w:rsidRPr="00B06B5A" w:rsidRDefault="00B05A17" w:rsidP="00707EB3">
            <w:pPr>
              <w:spacing w:before="0" w:after="0" w:line="240" w:lineRule="auto"/>
              <w:contextualSpacing/>
              <w:jc w:val="both"/>
              <w:rPr>
                <w:rFonts w:cs="Arial"/>
                <w:i/>
                <w:sz w:val="18"/>
                <w:szCs w:val="18"/>
              </w:rPr>
            </w:pPr>
            <w:r w:rsidRPr="00B06B5A">
              <w:rPr>
                <w:rFonts w:cs="Arial"/>
                <w:i/>
                <w:sz w:val="18"/>
                <w:szCs w:val="18"/>
              </w:rPr>
              <w:t xml:space="preserve">Fuente: Elaboración propia </w:t>
            </w:r>
            <w:proofErr w:type="gramStart"/>
            <w:r w:rsidRPr="00B06B5A">
              <w:rPr>
                <w:rFonts w:cs="Arial"/>
                <w:i/>
                <w:sz w:val="18"/>
                <w:szCs w:val="18"/>
              </w:rPr>
              <w:t>Delegada</w:t>
            </w:r>
            <w:proofErr w:type="gramEnd"/>
            <w:r w:rsidRPr="00B06B5A">
              <w:rPr>
                <w:rFonts w:cs="Arial"/>
                <w:i/>
                <w:sz w:val="18"/>
                <w:szCs w:val="18"/>
              </w:rPr>
              <w:t xml:space="preserve"> para Entidades Territoriales y Generadores, Recaudadores y Administradores de Recursos del Sistema General de Seguridad Social en Salud</w:t>
            </w:r>
          </w:p>
          <w:p w14:paraId="77AD1933" w14:textId="77777777" w:rsidR="00B05A17" w:rsidRPr="0098433D" w:rsidRDefault="00B05A17" w:rsidP="00707EB3">
            <w:pPr>
              <w:spacing w:before="0" w:after="0" w:line="276" w:lineRule="auto"/>
              <w:jc w:val="both"/>
              <w:rPr>
                <w:rFonts w:cs="Arial"/>
              </w:rPr>
            </w:pPr>
          </w:p>
          <w:p w14:paraId="46ACA37A" w14:textId="77777777" w:rsidR="00B05A17" w:rsidRPr="0098433D" w:rsidRDefault="00B05A17" w:rsidP="00707EB3">
            <w:pPr>
              <w:spacing w:before="0" w:after="0" w:line="276" w:lineRule="auto"/>
              <w:jc w:val="both"/>
              <w:rPr>
                <w:rFonts w:cs="Arial"/>
                <w:b/>
                <w:bCs/>
                <w:i/>
                <w:iCs/>
                <w:color w:val="FF0000"/>
              </w:rPr>
            </w:pPr>
            <w:r w:rsidRPr="0098433D">
              <w:rPr>
                <w:rFonts w:cs="Arial"/>
              </w:rPr>
              <w:t xml:space="preserve">Consecuencia de esta se generan las siguientes alertas: </w:t>
            </w:r>
            <w:r w:rsidRPr="0081374E">
              <w:rPr>
                <w:rFonts w:cs="Arial"/>
                <w:b/>
                <w:bCs/>
                <w:i/>
                <w:iCs/>
                <w:color w:val="808080" w:themeColor="background1" w:themeShade="80"/>
              </w:rPr>
              <w:t>(Del siguiente listado dejar exclusivamente aquellas que se encuentran relacionadas en la herramienta de trabajo en la hoja denominada “Alertas IVE”)</w:t>
            </w:r>
          </w:p>
          <w:p w14:paraId="68085E8D" w14:textId="77777777" w:rsidR="00B05A17" w:rsidRPr="006A78B9" w:rsidRDefault="00B05A17" w:rsidP="00B05A17">
            <w:pPr>
              <w:pStyle w:val="Prrafodelista"/>
              <w:numPr>
                <w:ilvl w:val="0"/>
                <w:numId w:val="24"/>
              </w:numPr>
              <w:spacing w:after="0" w:line="276" w:lineRule="auto"/>
              <w:jc w:val="both"/>
              <w:rPr>
                <w:rFonts w:cs="Arial"/>
              </w:rPr>
            </w:pPr>
            <w:r w:rsidRPr="006A78B9">
              <w:rPr>
                <w:rFonts w:cs="Arial"/>
              </w:rPr>
              <w:t>La Entidad Territorial no cuenta con la Ruta Integral de Atención en Salud a la Población Materno Perinatal implementada en el territorio.</w:t>
            </w:r>
          </w:p>
          <w:p w14:paraId="24204242"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garantiza la oferta de prestación de servicios de salud relacionados con la IVE en las diferentes modalidades de atención a través de la red pública o privada.</w:t>
            </w:r>
          </w:p>
          <w:p w14:paraId="049A9B32"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brinda asistencia técnica a los municipios, entidades de aseguramiento en salud o prestadores de servicios de salud que operan en el territorio, frente a la IVE.</w:t>
            </w:r>
          </w:p>
          <w:p w14:paraId="3A409000"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programó el desarrollo de capacidades institucionales, sectoriales, intersectoriales y comunitarias en los planes, programas y estrategias en salud pública, que permitan la adopción y apropiación de derechos sexuales y reproductivos, la perspectiva de enfoque de igualdad de género, y el acceso a información oportuna, suficiente y adecuada en materia reproductiva que incluya la garantía de la IVE.</w:t>
            </w:r>
          </w:p>
          <w:p w14:paraId="59E12ABD"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se encuentra fortaleciendo las capacidades del talento humano en salud, las parteras, agentes de salud comunitario, agentes de medicina tradicional y complementaria frente a la jurisprudencia y normatividad que regula el derecho fundamental a la IVE.</w:t>
            </w:r>
          </w:p>
          <w:p w14:paraId="2E316D3A"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vigila o no promueve la participación de los auxiliares de enfermería, las parteras, los agentes de salud comunitarios, los agentes de la medicina tradicional y complementaria, entre otros, en la orientación y apoyo para el acceso a la IVE.</w:t>
            </w:r>
          </w:p>
          <w:p w14:paraId="3938185F"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implementa intervenciones dirigidas a permitir el acceso a la información sobre los derechos sexuales y los derechos reproductivos de las personas, familias y comunidades.</w:t>
            </w:r>
          </w:p>
          <w:p w14:paraId="380BC73C"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lastRenderedPageBreak/>
              <w:t>La Entidad Territorial no garantiza la gestión del aseguramiento o no vigila la realización del procedimiento de afiliación al SGSSS de las mujeres y personas gestantes de acuerdo con la normatividad, los procedimientos y mecanismos establecidos.</w:t>
            </w:r>
          </w:p>
          <w:p w14:paraId="36E710A7"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garantiza la IVE a la población en condición de migración irregular a través de la red pública, de conformidad con las reglas y subreglas jurisprudenciales establecidas por la Corte Constitucional, el Decreto 866 de 2017 y la Resolución 051 de 2023.</w:t>
            </w:r>
          </w:p>
          <w:p w14:paraId="5976B7EC" w14:textId="77777777" w:rsidR="00B05A17" w:rsidRDefault="00B05A17" w:rsidP="00B05A17">
            <w:pPr>
              <w:pStyle w:val="Prrafodelista"/>
              <w:numPr>
                <w:ilvl w:val="0"/>
                <w:numId w:val="24"/>
              </w:numPr>
              <w:spacing w:after="0" w:line="276" w:lineRule="auto"/>
              <w:jc w:val="both"/>
              <w:rPr>
                <w:rFonts w:cs="Arial"/>
              </w:rPr>
            </w:pPr>
            <w:r>
              <w:rPr>
                <w:rFonts w:cs="Arial"/>
              </w:rPr>
              <w:t xml:space="preserve"> </w:t>
            </w:r>
            <w:r w:rsidRPr="00316BE0">
              <w:rPr>
                <w:rFonts w:cs="Arial"/>
              </w:rPr>
              <w:t>La Entidad Territorial no cuenta con mecanismos disponibles para denunciar violencia institucional y gineco</w:t>
            </w:r>
            <w:r>
              <w:rPr>
                <w:rFonts w:cs="Arial"/>
              </w:rPr>
              <w:t>o</w:t>
            </w:r>
            <w:r w:rsidRPr="00316BE0">
              <w:rPr>
                <w:rFonts w:cs="Arial"/>
              </w:rPr>
              <w:t>bst</w:t>
            </w:r>
            <w:r>
              <w:rPr>
                <w:rFonts w:cs="Arial"/>
              </w:rPr>
              <w:t>e</w:t>
            </w:r>
            <w:r w:rsidRPr="00316BE0">
              <w:rPr>
                <w:rFonts w:cs="Arial"/>
              </w:rPr>
              <w:t>tric</w:t>
            </w:r>
            <w:r>
              <w:rPr>
                <w:rFonts w:cs="Arial"/>
              </w:rPr>
              <w:t>i</w:t>
            </w:r>
            <w:r w:rsidRPr="00316BE0">
              <w:rPr>
                <w:rFonts w:cs="Arial"/>
              </w:rPr>
              <w:t>a.</w:t>
            </w:r>
          </w:p>
          <w:p w14:paraId="3A7AD019"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y vigilancia a que las Entidades de Aseguramiento en Salud garanticen el acceso a la IVE en los diferentes niveles de complejidad y distintas modalidades de atención mediante la red de prestadores de servicios de salud y proveedores de tecnologías en salud conformada.</w:t>
            </w:r>
          </w:p>
          <w:p w14:paraId="148E101F" w14:textId="77777777" w:rsidR="00B05A17" w:rsidRDefault="00B05A17" w:rsidP="00B05A17">
            <w:pPr>
              <w:pStyle w:val="Prrafodelista"/>
              <w:numPr>
                <w:ilvl w:val="0"/>
                <w:numId w:val="24"/>
              </w:numPr>
              <w:spacing w:after="0" w:line="276" w:lineRule="auto"/>
              <w:jc w:val="both"/>
              <w:rPr>
                <w:rFonts w:cs="Arial"/>
              </w:rPr>
            </w:pPr>
            <w:r>
              <w:rPr>
                <w:rFonts w:cs="Arial"/>
              </w:rPr>
              <w:t xml:space="preserve"> </w:t>
            </w:r>
            <w:r w:rsidRPr="00C84828">
              <w:rPr>
                <w:rFonts w:cs="Arial"/>
              </w:rPr>
              <w:t>La Entidad Territorial no realiza inspección y vigilancia a que las Entidades de Aseguramiento en Salud cuenten con la caracterización de las mujeres y personas gestantes de su población.</w:t>
            </w:r>
          </w:p>
          <w:p w14:paraId="290D4237"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y vigilancia a la operación y funcionamiento de los mecanismos de referencia y contrarreferencia implementados por las Entidades de Aseguramiento en Salud, que incluya la articulación de la red de prestación de servicios en los diferentes niveles de complejidad, que garantice la atención integral en salud de la IVE.</w:t>
            </w:r>
          </w:p>
          <w:p w14:paraId="7CB2005C"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y vigilancia a que las Entidades de Aseguramiento en Salud realicen el seguimiento a la red de prestación de servicios de salud y proveedores de tecnologías en salud contratada respecto de la adherencia a las guías y lineamientos relacionados con la IVE.</w:t>
            </w:r>
          </w:p>
          <w:p w14:paraId="53C4B518"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 xml:space="preserve">La Entidad Territorial no realiza inspección y vigilancia a la implementación de un canal de comunicación por parte de la Entidad de Aseguramiento en </w:t>
            </w:r>
            <w:r w:rsidRPr="0098433D">
              <w:rPr>
                <w:rFonts w:cs="Arial"/>
              </w:rPr>
              <w:lastRenderedPageBreak/>
              <w:t xml:space="preserve">Salud con su red de prestación de servicios de salud y proveedores de tecnologías en salud en aras de garantizar la oportuna prestación de la IVE. </w:t>
            </w:r>
          </w:p>
          <w:p w14:paraId="3C64344F"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y vigilancia a la imposición de barreras administrativas y prácticas discriminatorias para el acceso a la IVE, por parte de las Entidades de Aseguramiento en Salud y su red prestadora de servicios de salud y proveedora de tecnologías en salud.</w:t>
            </w:r>
          </w:p>
          <w:p w14:paraId="6B378553"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 xml:space="preserve">La Entidad Territorial no realiza inspección, vigilancia y control, en el marco de sus competencias, frente a las barreras administrativas y prácticas discriminatorias detectadas, así como a la no adherencia a las guías y lineamientos relacionados con la interrupción voluntaria del embarazo - IVE. </w:t>
            </w:r>
          </w:p>
          <w:p w14:paraId="4C02BE0F"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vigilancia y control a la garantía del acceso, oportunidad y continuidad en la prestación efectiva de la IVE, de conformidad con los términos establecidos por la jurisprudencia y la normatividad que regula este derecho.</w:t>
            </w:r>
          </w:p>
          <w:p w14:paraId="2042177F" w14:textId="77777777" w:rsidR="00B05A17"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vigilancia y control al cumplimiento de las condiciones de habilitación de la red de prestadores de servicios de salud que garantizan la intervención individual frente a la IVE, en el territorio</w:t>
            </w:r>
            <w:r>
              <w:rPr>
                <w:rFonts w:cs="Arial"/>
              </w:rPr>
              <w:t xml:space="preserve">. </w:t>
            </w:r>
          </w:p>
          <w:p w14:paraId="228C3902" w14:textId="77777777" w:rsidR="00B05A17" w:rsidRPr="0098433D" w:rsidRDefault="00B05A17" w:rsidP="00B05A17">
            <w:pPr>
              <w:pStyle w:val="Prrafodelista"/>
              <w:numPr>
                <w:ilvl w:val="0"/>
                <w:numId w:val="24"/>
              </w:numPr>
              <w:spacing w:after="0" w:line="276" w:lineRule="auto"/>
              <w:jc w:val="both"/>
              <w:rPr>
                <w:rFonts w:cs="Arial"/>
              </w:rPr>
            </w:pPr>
            <w:r w:rsidRPr="001041A1">
              <w:rPr>
                <w:rFonts w:cs="Arial"/>
              </w:rPr>
              <w:t xml:space="preserve">La Entidad Territorial no realiza inspección, vigilancia y control </w:t>
            </w:r>
            <w:r>
              <w:rPr>
                <w:rFonts w:cs="Arial"/>
              </w:rPr>
              <w:t xml:space="preserve">a </w:t>
            </w:r>
            <w:r w:rsidRPr="001041A1">
              <w:rPr>
                <w:rFonts w:cs="Arial"/>
              </w:rPr>
              <w:t>que la red prestadora de servicios de salud garantice la intervención individual frente a la IVE, e incluya lo relacionado con los apoyos y ajustes razonables para la garantía al acceso de las personas con discapacidad</w:t>
            </w:r>
            <w:r w:rsidRPr="0098433D">
              <w:rPr>
                <w:rFonts w:cs="Arial"/>
              </w:rPr>
              <w:t>.</w:t>
            </w:r>
          </w:p>
          <w:p w14:paraId="7873BB58"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vigilancia y control frente a los prestadores de servicios de salud que operan en el territorio, para que no aduzcan objeción de conciencia institucional.</w:t>
            </w:r>
          </w:p>
          <w:p w14:paraId="0AE712F6"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 xml:space="preserve">La Entidad Territorial no realiza inspección, vigilancia y control a la garantía de la atención integral y con calidad de la prestación de los servicios de salud relacionados con la IVE, por parte de las instituciones públicas y privadas que operan en su jurisdicción, en los diferentes niveles de </w:t>
            </w:r>
            <w:r w:rsidRPr="0098433D">
              <w:rPr>
                <w:rFonts w:cs="Arial"/>
              </w:rPr>
              <w:lastRenderedPageBreak/>
              <w:t>complejidad y en cualquier etapa del embarazo de las mujeres y personas gestantes que lo soliciten de manera voluntaria.</w:t>
            </w:r>
          </w:p>
          <w:p w14:paraId="5DCF21BC"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vigilancia y control al registro en la historia clínica por parte de los prestadores de servicios de salud de las causales por las que se solicita la IVE, cuando se trata de embarazos después de la vigésimo cuarta (24) semana.</w:t>
            </w:r>
          </w:p>
          <w:p w14:paraId="6E4E163D" w14:textId="05214CDE"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vigilancia y control a que la red de prestadores de servicios de salud que opera en el territorio cuente con profesionales de la salud no objetores de conciencia competentes, idóneos y capacitados para garantizar el acceso al procedimiento, y brindar la orientación y asesoría requerida.</w:t>
            </w:r>
          </w:p>
          <w:p w14:paraId="44B82669" w14:textId="77777777" w:rsidR="00B05A17" w:rsidRPr="0098433D" w:rsidRDefault="00B05A17" w:rsidP="00B05A17">
            <w:pPr>
              <w:pStyle w:val="Prrafodelista"/>
              <w:numPr>
                <w:ilvl w:val="0"/>
                <w:numId w:val="24"/>
              </w:numPr>
              <w:spacing w:after="0" w:line="276" w:lineRule="auto"/>
              <w:jc w:val="both"/>
              <w:rPr>
                <w:rFonts w:cs="Arial"/>
              </w:rPr>
            </w:pPr>
            <w:r w:rsidRPr="0098433D">
              <w:rPr>
                <w:rFonts w:cs="Arial"/>
              </w:rPr>
              <w:t>La Entidad Territorial no realiza inspección, vigilancia y control a los prestadores de servicios de salud frente al cumplimiento de las atenciones incluidas para la IVE en las Resoluciones 3280 de 2018 y 051 de 2023, como lo son: consulta inicial de valoración integral, información, orientación y asesoría para la toma informada de decisiones, provisión de la IVE mediante los métodos disponibles y recomendados, asesoría y provisión anticonceptiva y consulta de control en caso de ser requerida.</w:t>
            </w:r>
          </w:p>
          <w:p w14:paraId="67A6548C" w14:textId="185281FF" w:rsidR="00B05A17" w:rsidRPr="0098433D" w:rsidRDefault="00B05A17" w:rsidP="00B05A17">
            <w:pPr>
              <w:pStyle w:val="Prrafodelista"/>
              <w:numPr>
                <w:ilvl w:val="0"/>
                <w:numId w:val="24"/>
              </w:numPr>
              <w:spacing w:after="0" w:line="276" w:lineRule="auto"/>
              <w:jc w:val="both"/>
              <w:rPr>
                <w:rFonts w:cs="Arial"/>
              </w:rPr>
            </w:pPr>
            <w:r w:rsidRPr="0098433D">
              <w:rPr>
                <w:rFonts w:cs="Arial"/>
              </w:rPr>
              <w:t xml:space="preserve">La Entidad Territorial no realiza inspección, vigilancia y control a que la red de prestadores de servicios de salud que opera en el </w:t>
            </w:r>
            <w:r w:rsidR="00BC307E" w:rsidRPr="0098433D">
              <w:rPr>
                <w:rFonts w:cs="Arial"/>
              </w:rPr>
              <w:t>territorio</w:t>
            </w:r>
            <w:r w:rsidRPr="0098433D">
              <w:rPr>
                <w:rFonts w:cs="Arial"/>
              </w:rPr>
              <w:t xml:space="preserve"> </w:t>
            </w:r>
            <w:r w:rsidR="00BC307E" w:rsidRPr="0098433D">
              <w:rPr>
                <w:rFonts w:cs="Arial"/>
              </w:rPr>
              <w:t>garantice</w:t>
            </w:r>
            <w:r w:rsidRPr="0098433D">
              <w:rPr>
                <w:rFonts w:cs="Arial"/>
              </w:rPr>
              <w:t xml:space="preserve"> el suministro de información oportuna, suficiente y adecuada en materia reproductiva, el derecho a la intimidad y confidencialidad por parte de los profesionales de la salud, el derecho a un diagnóstico oportuno y actual sobre el estado y condiciones del embarazo, y el derecho a la autonomía reproductiva y a una vida libre de violencias.</w:t>
            </w:r>
          </w:p>
          <w:p w14:paraId="730666DB" w14:textId="5D1B8DF1" w:rsidR="00B05A17" w:rsidRPr="0098433D" w:rsidRDefault="00B05A17" w:rsidP="00B05A17">
            <w:pPr>
              <w:pStyle w:val="Prrafodelista"/>
              <w:numPr>
                <w:ilvl w:val="0"/>
                <w:numId w:val="24"/>
              </w:numPr>
              <w:spacing w:after="0" w:line="276" w:lineRule="auto"/>
              <w:jc w:val="both"/>
              <w:rPr>
                <w:rFonts w:cs="Arial"/>
              </w:rPr>
            </w:pPr>
            <w:r w:rsidRPr="0098433D">
              <w:rPr>
                <w:rFonts w:cs="Arial"/>
              </w:rPr>
              <w:t xml:space="preserve">La Entidad Territorial no realiza inspección, vigilancia y control a que la red de prestadores de servicios de salud que opera en el territorio </w:t>
            </w:r>
            <w:r w:rsidR="00BC307E" w:rsidRPr="0098433D">
              <w:rPr>
                <w:rFonts w:cs="Arial"/>
              </w:rPr>
              <w:t>garantice</w:t>
            </w:r>
            <w:r w:rsidRPr="0098433D">
              <w:rPr>
                <w:rFonts w:cs="Arial"/>
              </w:rPr>
              <w:t xml:space="preserve"> el acceso a la asesoría en salud sexual y reproductiva y el suministro del método anticonceptivo. </w:t>
            </w:r>
          </w:p>
          <w:p w14:paraId="57A4E441" w14:textId="77777777" w:rsidR="00B05A17" w:rsidRPr="0098433D" w:rsidRDefault="00B05A17" w:rsidP="00707EB3">
            <w:pPr>
              <w:spacing w:before="0" w:after="0" w:line="240" w:lineRule="auto"/>
              <w:contextualSpacing/>
              <w:rPr>
                <w:rFonts w:cs="Arial"/>
                <w:b/>
                <w:bCs/>
              </w:rPr>
            </w:pPr>
          </w:p>
          <w:p w14:paraId="6BD585D3" w14:textId="77777777" w:rsidR="00B05A17" w:rsidRPr="0098433D" w:rsidRDefault="00B05A17" w:rsidP="00707EB3">
            <w:pPr>
              <w:spacing w:before="0" w:after="0" w:line="240" w:lineRule="auto"/>
              <w:contextualSpacing/>
              <w:rPr>
                <w:rFonts w:cs="Arial"/>
                <w:b/>
                <w:bCs/>
              </w:rPr>
            </w:pPr>
            <w:r w:rsidRPr="0098433D">
              <w:rPr>
                <w:rFonts w:cs="Arial"/>
                <w:b/>
                <w:bCs/>
              </w:rPr>
              <w:t xml:space="preserve">COMPROMISO: </w:t>
            </w:r>
          </w:p>
          <w:p w14:paraId="797BE549" w14:textId="77777777" w:rsidR="00B05A17" w:rsidRPr="0098433D" w:rsidRDefault="00B05A17" w:rsidP="00707EB3">
            <w:pPr>
              <w:spacing w:before="0" w:after="0" w:line="240" w:lineRule="auto"/>
              <w:contextualSpacing/>
              <w:rPr>
                <w:rFonts w:cs="Arial"/>
                <w:b/>
                <w:bCs/>
              </w:rPr>
            </w:pPr>
          </w:p>
          <w:p w14:paraId="2118289E" w14:textId="5BCBAEAC" w:rsidR="00B05A17" w:rsidRPr="0098433D" w:rsidRDefault="00B05A17" w:rsidP="00BC307E">
            <w:pPr>
              <w:spacing w:before="0" w:after="0" w:line="276" w:lineRule="auto"/>
              <w:contextualSpacing/>
              <w:jc w:val="both"/>
              <w:rPr>
                <w:rFonts w:cs="Arial"/>
              </w:rPr>
            </w:pPr>
            <w:r w:rsidRPr="0098433D">
              <w:rPr>
                <w:rFonts w:cs="Arial"/>
              </w:rPr>
              <w:lastRenderedPageBreak/>
              <w:t xml:space="preserve">Con base en las alertas generadas resultado del ejercicio de la acción </w:t>
            </w:r>
            <w:proofErr w:type="spellStart"/>
            <w:r>
              <w:rPr>
                <w:rFonts w:cs="Arial"/>
              </w:rPr>
              <w:t>inspectiva</w:t>
            </w:r>
            <w:proofErr w:type="spellEnd"/>
            <w:r>
              <w:rPr>
                <w:rFonts w:cs="Arial"/>
              </w:rPr>
              <w:t xml:space="preserve"> focalizada</w:t>
            </w:r>
            <w:r w:rsidRPr="0098433D">
              <w:rPr>
                <w:rFonts w:cs="Arial"/>
              </w:rPr>
              <w:t>, la Entidad Territorial deberá implementar un plan de acción encaminado a subsanar las falencias e irregularidades detectadas, de manera que se garantice la atención integral en salud de la IVE a las mujeres y personas gestantes en su jurisdicción, para lo cual, la entidad territorial deberá diligenciar el instrumento</w:t>
            </w:r>
            <w:r w:rsidR="00BC307E">
              <w:rPr>
                <w:rFonts w:cs="Arial"/>
              </w:rPr>
              <w:t xml:space="preserve"> de </w:t>
            </w:r>
            <w:r w:rsidRPr="00BC307E">
              <w:rPr>
                <w:rFonts w:cs="Arial"/>
              </w:rPr>
              <w:t>Plan</w:t>
            </w:r>
            <w:r w:rsidR="00646089" w:rsidRPr="00BC307E">
              <w:rPr>
                <w:rFonts w:cs="Arial"/>
              </w:rPr>
              <w:t xml:space="preserve"> de Acción</w:t>
            </w:r>
            <w:r w:rsidRPr="00BC307E">
              <w:rPr>
                <w:rFonts w:cs="Arial"/>
              </w:rPr>
              <w:t xml:space="preserve">, </w:t>
            </w:r>
            <w:r w:rsidRPr="0098433D">
              <w:rPr>
                <w:rFonts w:cs="Arial"/>
              </w:rPr>
              <w:t xml:space="preserve">suministrado por los funcionarios que practicaron la acción. </w:t>
            </w:r>
          </w:p>
          <w:p w14:paraId="36DAFC0F" w14:textId="77777777" w:rsidR="00B05A17" w:rsidRPr="0098433D" w:rsidRDefault="00B05A17" w:rsidP="00BC307E">
            <w:pPr>
              <w:spacing w:before="0" w:after="0" w:line="276" w:lineRule="auto"/>
              <w:contextualSpacing/>
              <w:jc w:val="both"/>
              <w:rPr>
                <w:rFonts w:cs="Arial"/>
              </w:rPr>
            </w:pPr>
          </w:p>
          <w:p w14:paraId="0A0489F1" w14:textId="77777777" w:rsidR="00B05A17" w:rsidRPr="0098433D" w:rsidRDefault="00B05A17" w:rsidP="00707EB3">
            <w:pPr>
              <w:spacing w:before="0" w:after="0" w:line="276" w:lineRule="auto"/>
              <w:contextualSpacing/>
              <w:jc w:val="both"/>
              <w:rPr>
                <w:rFonts w:cs="Arial"/>
              </w:rPr>
            </w:pPr>
            <w:r w:rsidRPr="0098433D">
              <w:rPr>
                <w:rFonts w:cs="Arial"/>
              </w:rPr>
              <w:t xml:space="preserve">Las acciones propuestas tendrán una ejecución no superior a </w:t>
            </w:r>
            <w:r>
              <w:rPr>
                <w:rFonts w:cs="Arial"/>
              </w:rPr>
              <w:t>tres</w:t>
            </w:r>
            <w:r w:rsidRPr="0098433D">
              <w:rPr>
                <w:rFonts w:cs="Arial"/>
              </w:rPr>
              <w:t xml:space="preserve"> (</w:t>
            </w:r>
            <w:r>
              <w:rPr>
                <w:rFonts w:cs="Arial"/>
              </w:rPr>
              <w:t>3</w:t>
            </w:r>
            <w:r w:rsidRPr="0098433D">
              <w:rPr>
                <w:rFonts w:cs="Arial"/>
              </w:rPr>
              <w:t>) meses y deberán estar refrendadas con la firma del (de la) secretario(a) de salud.</w:t>
            </w:r>
          </w:p>
          <w:p w14:paraId="6B2CA8C2" w14:textId="77777777" w:rsidR="00B05A17" w:rsidRPr="0098433D" w:rsidRDefault="00B05A17" w:rsidP="00707EB3">
            <w:pPr>
              <w:spacing w:before="0" w:after="0" w:line="276" w:lineRule="auto"/>
              <w:contextualSpacing/>
              <w:jc w:val="both"/>
              <w:rPr>
                <w:rFonts w:cs="Arial"/>
              </w:rPr>
            </w:pPr>
          </w:p>
          <w:p w14:paraId="2B52FBE3" w14:textId="68CD9887" w:rsidR="00B05A17" w:rsidRPr="0098433D" w:rsidRDefault="00B05A17" w:rsidP="00707EB3">
            <w:pPr>
              <w:spacing w:before="0" w:after="0" w:line="276" w:lineRule="auto"/>
              <w:contextualSpacing/>
              <w:jc w:val="both"/>
              <w:rPr>
                <w:rFonts w:cs="Arial"/>
              </w:rPr>
            </w:pPr>
            <w:r w:rsidRPr="0098433D">
              <w:rPr>
                <w:rFonts w:cs="Arial"/>
              </w:rPr>
              <w:t xml:space="preserve">Para efectos de la revisión y </w:t>
            </w:r>
            <w:proofErr w:type="spellStart"/>
            <w:r w:rsidRPr="0098433D">
              <w:rPr>
                <w:rFonts w:cs="Arial"/>
              </w:rPr>
              <w:t>viabilización</w:t>
            </w:r>
            <w:proofErr w:type="spellEnd"/>
            <w:r w:rsidRPr="0098433D">
              <w:rPr>
                <w:rFonts w:cs="Arial"/>
              </w:rPr>
              <w:t xml:space="preserve"> del plan de acción, la entidad territorial en un término de diez (10) días hábiles contados a partir de la firma y aprobación de la presente acta, remitirá el instrumento </w:t>
            </w:r>
            <w:r w:rsidR="00BC307E">
              <w:rPr>
                <w:rFonts w:cs="Arial"/>
              </w:rPr>
              <w:t xml:space="preserve">de </w:t>
            </w:r>
            <w:r w:rsidR="00BC307E" w:rsidRPr="00BC307E">
              <w:rPr>
                <w:rFonts w:cs="Arial"/>
              </w:rPr>
              <w:t>Plan de Acción</w:t>
            </w:r>
            <w:r w:rsidR="00BC307E" w:rsidRPr="0098433D">
              <w:rPr>
                <w:rFonts w:cs="Arial"/>
              </w:rPr>
              <w:t xml:space="preserve"> </w:t>
            </w:r>
            <w:r w:rsidRPr="0098433D">
              <w:rPr>
                <w:rFonts w:cs="Arial"/>
              </w:rPr>
              <w:t xml:space="preserve">debidamente diligenciado al correo institucional </w:t>
            </w:r>
            <w:r w:rsidRPr="0098433D">
              <w:rPr>
                <w:rFonts w:cs="Arial"/>
                <w:b/>
                <w:bCs/>
              </w:rPr>
              <w:t>correointernosns@supersalud.gov.co</w:t>
            </w:r>
            <w:r w:rsidRPr="0098433D">
              <w:rPr>
                <w:rFonts w:cs="Arial"/>
              </w:rPr>
              <w:t xml:space="preserve"> de esta Superintendencia, referenciando el número radicado del oficio con el que se comunicó a la Entidad Territorial la práctica de la acción </w:t>
            </w:r>
            <w:proofErr w:type="spellStart"/>
            <w:r>
              <w:rPr>
                <w:rFonts w:cs="Arial"/>
              </w:rPr>
              <w:t>i</w:t>
            </w:r>
            <w:r w:rsidRPr="0098433D">
              <w:rPr>
                <w:rFonts w:cs="Arial"/>
              </w:rPr>
              <w:t>nspectiva</w:t>
            </w:r>
            <w:proofErr w:type="spellEnd"/>
            <w:r w:rsidRPr="0098433D">
              <w:rPr>
                <w:rFonts w:cs="Arial"/>
              </w:rPr>
              <w:t xml:space="preserve"> focalizada.</w:t>
            </w:r>
          </w:p>
          <w:p w14:paraId="2995EC0A" w14:textId="77777777" w:rsidR="00B05A17" w:rsidRPr="0098433D" w:rsidRDefault="00B05A17" w:rsidP="00707EB3">
            <w:pPr>
              <w:spacing w:before="0" w:after="0" w:line="276" w:lineRule="auto"/>
              <w:contextualSpacing/>
              <w:jc w:val="both"/>
              <w:rPr>
                <w:rFonts w:cs="Arial"/>
              </w:rPr>
            </w:pPr>
          </w:p>
          <w:p w14:paraId="778CF46D" w14:textId="77777777" w:rsidR="00B05A17" w:rsidRPr="0098433D" w:rsidRDefault="00B05A17" w:rsidP="00707EB3">
            <w:pPr>
              <w:spacing w:before="0" w:after="0" w:line="276" w:lineRule="auto"/>
              <w:contextualSpacing/>
              <w:jc w:val="both"/>
              <w:rPr>
                <w:rFonts w:cs="Arial"/>
              </w:rPr>
            </w:pPr>
            <w:r w:rsidRPr="0098433D">
              <w:rPr>
                <w:rFonts w:cs="Arial"/>
                <w:lang w:val="es-ES" w:eastAsia="es-ES"/>
              </w:rPr>
              <w:t xml:space="preserve">La Superintendencia Nacional de </w:t>
            </w:r>
            <w:r w:rsidRPr="0098433D">
              <w:rPr>
                <w:rFonts w:cs="Arial"/>
                <w:color w:val="000000" w:themeColor="text1"/>
                <w:lang w:val="es-ES" w:eastAsia="es-ES"/>
              </w:rPr>
              <w:t>Salud definirá los mecanismos para realizar el seguimiento a la ejecución de las acciones implementadas y el levantamiento de las alertas generadas en el presente ejercicio. S</w:t>
            </w:r>
            <w:r w:rsidRPr="0098433D">
              <w:rPr>
                <w:rFonts w:cs="Arial"/>
              </w:rPr>
              <w:t xml:space="preserve">u inobservancia constituirá una conducta que vulnera las normas del Sistema General de Seguridad Social en Salud - SGSSS, de conformidad con lo establecido en la Ley 1438 de 2011, artículo 130, modificado por la Ley 1949 de 2019, artículo 3. </w:t>
            </w:r>
          </w:p>
          <w:p w14:paraId="7589EDA9" w14:textId="77777777" w:rsidR="00B05A17" w:rsidRPr="0098433D" w:rsidRDefault="00B05A17" w:rsidP="00707EB3">
            <w:pPr>
              <w:spacing w:before="0" w:after="0" w:line="276" w:lineRule="auto"/>
              <w:contextualSpacing/>
              <w:jc w:val="both"/>
              <w:rPr>
                <w:rFonts w:cs="Arial"/>
              </w:rPr>
            </w:pPr>
          </w:p>
          <w:p w14:paraId="476F542C" w14:textId="6E246B2B" w:rsidR="00B05A17" w:rsidRPr="0098433D" w:rsidRDefault="00B05A17" w:rsidP="00707EB3">
            <w:pPr>
              <w:spacing w:before="0" w:after="0" w:line="276" w:lineRule="auto"/>
              <w:contextualSpacing/>
              <w:jc w:val="both"/>
              <w:rPr>
                <w:rFonts w:cs="Arial"/>
              </w:rPr>
            </w:pPr>
            <w:r w:rsidRPr="0098433D">
              <w:rPr>
                <w:rFonts w:cs="Arial"/>
              </w:rPr>
              <w:t xml:space="preserve">No siendo otro el motivo de la presente acta se aprueba por quienes en ella intervinieron </w:t>
            </w:r>
            <w:r w:rsidRPr="0098433D">
              <w:rPr>
                <w:rFonts w:cs="Arial"/>
                <w:color w:val="000000" w:themeColor="text1"/>
              </w:rPr>
              <w:t xml:space="preserve">a los </w:t>
            </w:r>
            <w:r w:rsidR="00280086" w:rsidRPr="006F0B05">
              <w:rPr>
                <w:rFonts w:cs="Arial"/>
                <w:color w:val="808080" w:themeColor="background1" w:themeShade="80"/>
                <w:szCs w:val="24"/>
              </w:rPr>
              <w:t>DD</w:t>
            </w:r>
            <w:r w:rsidR="00280086" w:rsidRPr="006F0B05">
              <w:rPr>
                <w:rFonts w:cs="Arial"/>
                <w:color w:val="000000" w:themeColor="text1"/>
                <w:szCs w:val="24"/>
              </w:rPr>
              <w:t xml:space="preserve"> días del mes de </w:t>
            </w:r>
            <w:r w:rsidR="00280086" w:rsidRPr="006F0B05">
              <w:rPr>
                <w:rFonts w:cs="Arial"/>
                <w:color w:val="808080" w:themeColor="background1" w:themeShade="80"/>
                <w:szCs w:val="24"/>
              </w:rPr>
              <w:t xml:space="preserve">mes en letras </w:t>
            </w:r>
            <w:r w:rsidR="00280086" w:rsidRPr="006F0B05">
              <w:rPr>
                <w:rFonts w:cs="Arial"/>
                <w:color w:val="000000" w:themeColor="text1"/>
                <w:szCs w:val="24"/>
              </w:rPr>
              <w:t>del año 20</w:t>
            </w:r>
            <w:r w:rsidR="00280086" w:rsidRPr="006F0B05">
              <w:rPr>
                <w:rFonts w:cs="Arial"/>
                <w:color w:val="808080" w:themeColor="background1" w:themeShade="80"/>
                <w:szCs w:val="24"/>
              </w:rPr>
              <w:t>AA</w:t>
            </w:r>
            <w:r w:rsidR="00280086" w:rsidRPr="006F0B05">
              <w:rPr>
                <w:rFonts w:cs="Arial"/>
                <w:color w:val="000000" w:themeColor="text1"/>
                <w:szCs w:val="24"/>
              </w:rPr>
              <w:t xml:space="preserve">, siendo </w:t>
            </w:r>
            <w:proofErr w:type="gramStart"/>
            <w:r w:rsidR="00280086" w:rsidRPr="006F0B05">
              <w:rPr>
                <w:rFonts w:cs="Arial"/>
                <w:color w:val="000000" w:themeColor="text1"/>
                <w:szCs w:val="24"/>
              </w:rPr>
              <w:t xml:space="preserve">las </w:t>
            </w:r>
            <w:r w:rsidR="00280086" w:rsidRPr="006F0B05">
              <w:rPr>
                <w:rFonts w:cs="Arial"/>
                <w:color w:val="808080" w:themeColor="background1" w:themeShade="80"/>
                <w:szCs w:val="24"/>
              </w:rPr>
              <w:t>hora</w:t>
            </w:r>
            <w:proofErr w:type="gramEnd"/>
            <w:r w:rsidR="00280086" w:rsidRPr="006F0B05">
              <w:rPr>
                <w:rFonts w:cs="Arial"/>
                <w:color w:val="808080" w:themeColor="background1" w:themeShade="80"/>
                <w:szCs w:val="24"/>
              </w:rPr>
              <w:t xml:space="preserve"> en número:</w:t>
            </w:r>
            <w:r w:rsidR="00BC307E">
              <w:rPr>
                <w:rFonts w:cs="Arial"/>
                <w:color w:val="808080" w:themeColor="background1" w:themeShade="80"/>
                <w:szCs w:val="24"/>
              </w:rPr>
              <w:t xml:space="preserve"> </w:t>
            </w:r>
            <w:r w:rsidR="00280086" w:rsidRPr="006F0B05">
              <w:rPr>
                <w:rFonts w:cs="Arial"/>
                <w:color w:val="808080" w:themeColor="background1" w:themeShade="80"/>
                <w:szCs w:val="24"/>
              </w:rPr>
              <w:t>minutos en número (AM/PM)</w:t>
            </w:r>
            <w:r w:rsidR="00280086" w:rsidRPr="006F0B05">
              <w:rPr>
                <w:rFonts w:cs="Arial"/>
                <w:szCs w:val="24"/>
              </w:rPr>
              <w:t>.</w:t>
            </w:r>
          </w:p>
          <w:p w14:paraId="14FCE57E" w14:textId="77777777" w:rsidR="00B05A17" w:rsidRPr="0098433D" w:rsidRDefault="00B05A17" w:rsidP="00707EB3">
            <w:pPr>
              <w:spacing w:before="0" w:after="0" w:line="240" w:lineRule="auto"/>
              <w:contextualSpacing/>
              <w:jc w:val="both"/>
              <w:rPr>
                <w:rFonts w:cs="Arial"/>
              </w:rPr>
            </w:pPr>
          </w:p>
        </w:tc>
      </w:tr>
      <w:tr w:rsidR="00B05A17" w:rsidRPr="00F95F24" w14:paraId="7C9B20A6" w14:textId="77777777" w:rsidTr="00707EB3">
        <w:tblPrEx>
          <w:jc w:val="left"/>
        </w:tblPrEx>
        <w:trPr>
          <w:trHeight w:val="2040"/>
        </w:trPr>
        <w:tc>
          <w:tcPr>
            <w:tcW w:w="8828" w:type="dxa"/>
            <w:gridSpan w:val="4"/>
          </w:tcPr>
          <w:p w14:paraId="31652A61" w14:textId="77777777" w:rsidR="00B05A17" w:rsidRDefault="00B05A17" w:rsidP="00707EB3">
            <w:pPr>
              <w:pStyle w:val="Ttulo"/>
              <w:ind w:right="57"/>
              <w:contextualSpacing/>
              <w:jc w:val="both"/>
              <w:rPr>
                <w:rFonts w:cs="Arial"/>
                <w:sz w:val="24"/>
                <w:szCs w:val="24"/>
              </w:rPr>
            </w:pPr>
          </w:p>
          <w:p w14:paraId="11179485" w14:textId="77777777" w:rsidR="00B05A17" w:rsidRPr="00A95845" w:rsidRDefault="00B05A17" w:rsidP="00707EB3">
            <w:pPr>
              <w:pStyle w:val="Ttulo"/>
              <w:ind w:right="57"/>
              <w:contextualSpacing/>
              <w:jc w:val="both"/>
              <w:rPr>
                <w:rFonts w:cs="Arial"/>
                <w:sz w:val="24"/>
                <w:szCs w:val="24"/>
              </w:rPr>
            </w:pPr>
            <w:r w:rsidRPr="00A95845">
              <w:rPr>
                <w:rFonts w:cs="Arial"/>
                <w:sz w:val="24"/>
                <w:szCs w:val="24"/>
              </w:rPr>
              <w:t>PARTICIPANTES:</w:t>
            </w:r>
          </w:p>
          <w:p w14:paraId="50A97E85" w14:textId="77777777" w:rsidR="00B05A17" w:rsidRDefault="00B05A17" w:rsidP="00707EB3">
            <w:pPr>
              <w:spacing w:before="0" w:after="0" w:line="240" w:lineRule="auto"/>
              <w:contextualSpacing/>
              <w:jc w:val="both"/>
              <w:rPr>
                <w:rFonts w:cs="Arial"/>
              </w:rPr>
            </w:pPr>
          </w:p>
          <w:tbl>
            <w:tblPr>
              <w:tblStyle w:val="Tablaconcuadrcula"/>
              <w:tblW w:w="8578" w:type="dxa"/>
              <w:tblLayout w:type="fixed"/>
              <w:tblLook w:val="04A0" w:firstRow="1" w:lastRow="0" w:firstColumn="1" w:lastColumn="0" w:noHBand="0" w:noVBand="1"/>
            </w:tblPr>
            <w:tblGrid>
              <w:gridCol w:w="2870"/>
              <w:gridCol w:w="2854"/>
              <w:gridCol w:w="2854"/>
            </w:tblGrid>
            <w:tr w:rsidR="00B05A17" w:rsidRPr="00A95845" w14:paraId="54CAB632" w14:textId="77777777" w:rsidTr="00707EB3">
              <w:trPr>
                <w:trHeight w:val="651"/>
              </w:trPr>
              <w:tc>
                <w:tcPr>
                  <w:tcW w:w="2870" w:type="dxa"/>
                </w:tcPr>
                <w:p w14:paraId="116783BE" w14:textId="77777777" w:rsidR="00B05A17" w:rsidRPr="003C4282" w:rsidRDefault="00B05A17" w:rsidP="00707EB3">
                  <w:pPr>
                    <w:spacing w:before="0" w:after="0" w:line="240" w:lineRule="auto"/>
                    <w:contextualSpacing/>
                    <w:jc w:val="center"/>
                    <w:rPr>
                      <w:rFonts w:cs="Arial"/>
                      <w:b/>
                      <w:sz w:val="22"/>
                    </w:rPr>
                  </w:pPr>
                  <w:r w:rsidRPr="003C4282">
                    <w:rPr>
                      <w:rFonts w:cs="Arial"/>
                      <w:b/>
                      <w:sz w:val="22"/>
                    </w:rPr>
                    <w:t>Por parte del vigilado</w:t>
                  </w:r>
                </w:p>
              </w:tc>
              <w:tc>
                <w:tcPr>
                  <w:tcW w:w="2854" w:type="dxa"/>
                </w:tcPr>
                <w:p w14:paraId="4B35D82E" w14:textId="77777777" w:rsidR="00B05A17" w:rsidRPr="003C4282" w:rsidRDefault="00B05A17" w:rsidP="00707EB3">
                  <w:pPr>
                    <w:spacing w:before="0" w:after="0" w:line="240" w:lineRule="auto"/>
                    <w:contextualSpacing/>
                    <w:jc w:val="center"/>
                    <w:rPr>
                      <w:rFonts w:cs="Arial"/>
                      <w:b/>
                      <w:sz w:val="22"/>
                    </w:rPr>
                  </w:pPr>
                  <w:r w:rsidRPr="003C4282">
                    <w:rPr>
                      <w:rFonts w:cs="Arial"/>
                      <w:b/>
                      <w:sz w:val="22"/>
                    </w:rPr>
                    <w:t>Número de identidad</w:t>
                  </w:r>
                </w:p>
              </w:tc>
              <w:tc>
                <w:tcPr>
                  <w:tcW w:w="2854" w:type="dxa"/>
                </w:tcPr>
                <w:p w14:paraId="6BB3337A" w14:textId="77777777" w:rsidR="00B05A17" w:rsidRPr="003C4282" w:rsidRDefault="00B05A17" w:rsidP="00707EB3">
                  <w:pPr>
                    <w:spacing w:before="0" w:after="0" w:line="240" w:lineRule="auto"/>
                    <w:contextualSpacing/>
                    <w:jc w:val="center"/>
                    <w:rPr>
                      <w:rFonts w:cs="Arial"/>
                      <w:b/>
                      <w:sz w:val="22"/>
                    </w:rPr>
                  </w:pPr>
                  <w:r w:rsidRPr="003C4282">
                    <w:rPr>
                      <w:rFonts w:cs="Arial"/>
                      <w:b/>
                      <w:sz w:val="22"/>
                    </w:rPr>
                    <w:t>Cargo</w:t>
                  </w:r>
                </w:p>
              </w:tc>
            </w:tr>
            <w:tr w:rsidR="00B05A17" w:rsidRPr="00A95845" w14:paraId="7A169AA6" w14:textId="77777777" w:rsidTr="00707EB3">
              <w:trPr>
                <w:trHeight w:val="490"/>
              </w:trPr>
              <w:tc>
                <w:tcPr>
                  <w:tcW w:w="2870" w:type="dxa"/>
                </w:tcPr>
                <w:p w14:paraId="7FBC8523" w14:textId="77777777" w:rsidR="00B05A17" w:rsidRPr="00A95845" w:rsidRDefault="00B05A17" w:rsidP="00707EB3">
                  <w:pPr>
                    <w:spacing w:before="0" w:after="0" w:line="240" w:lineRule="auto"/>
                    <w:contextualSpacing/>
                    <w:jc w:val="center"/>
                    <w:rPr>
                      <w:rFonts w:cs="Arial"/>
                      <w:sz w:val="22"/>
                    </w:rPr>
                  </w:pPr>
                </w:p>
              </w:tc>
              <w:tc>
                <w:tcPr>
                  <w:tcW w:w="2854" w:type="dxa"/>
                </w:tcPr>
                <w:p w14:paraId="7E4C7BE8" w14:textId="77777777" w:rsidR="00B05A17" w:rsidRPr="00A95845" w:rsidRDefault="00B05A17" w:rsidP="00707EB3">
                  <w:pPr>
                    <w:spacing w:before="0" w:after="0" w:line="240" w:lineRule="auto"/>
                    <w:contextualSpacing/>
                    <w:jc w:val="center"/>
                    <w:rPr>
                      <w:rFonts w:cs="Arial"/>
                      <w:sz w:val="22"/>
                    </w:rPr>
                  </w:pPr>
                </w:p>
              </w:tc>
              <w:tc>
                <w:tcPr>
                  <w:tcW w:w="2854" w:type="dxa"/>
                </w:tcPr>
                <w:p w14:paraId="573A7E92" w14:textId="77777777" w:rsidR="00B05A17" w:rsidRPr="00A95845" w:rsidRDefault="00B05A17" w:rsidP="00707EB3">
                  <w:pPr>
                    <w:spacing w:before="0" w:after="0" w:line="240" w:lineRule="auto"/>
                    <w:contextualSpacing/>
                    <w:jc w:val="center"/>
                    <w:rPr>
                      <w:rFonts w:cs="Arial"/>
                      <w:sz w:val="22"/>
                    </w:rPr>
                  </w:pPr>
                </w:p>
              </w:tc>
            </w:tr>
            <w:tr w:rsidR="00B05A17" w:rsidRPr="00A95845" w14:paraId="43DC481B" w14:textId="77777777" w:rsidTr="00707EB3">
              <w:trPr>
                <w:trHeight w:val="480"/>
              </w:trPr>
              <w:tc>
                <w:tcPr>
                  <w:tcW w:w="2870" w:type="dxa"/>
                </w:tcPr>
                <w:p w14:paraId="5037DCEC" w14:textId="77777777" w:rsidR="00B05A17" w:rsidRPr="00A95845" w:rsidRDefault="00B05A17" w:rsidP="00707EB3">
                  <w:pPr>
                    <w:spacing w:before="0" w:after="0" w:line="240" w:lineRule="auto"/>
                    <w:contextualSpacing/>
                    <w:jc w:val="both"/>
                    <w:rPr>
                      <w:rFonts w:cs="Arial"/>
                      <w:sz w:val="22"/>
                    </w:rPr>
                  </w:pPr>
                </w:p>
              </w:tc>
              <w:tc>
                <w:tcPr>
                  <w:tcW w:w="2854" w:type="dxa"/>
                </w:tcPr>
                <w:p w14:paraId="0A232513" w14:textId="77777777" w:rsidR="00B05A17" w:rsidRPr="00A95845" w:rsidRDefault="00B05A17" w:rsidP="00707EB3">
                  <w:pPr>
                    <w:spacing w:before="0" w:after="0" w:line="240" w:lineRule="auto"/>
                    <w:contextualSpacing/>
                    <w:jc w:val="both"/>
                    <w:rPr>
                      <w:rFonts w:cs="Arial"/>
                      <w:sz w:val="22"/>
                    </w:rPr>
                  </w:pPr>
                </w:p>
              </w:tc>
              <w:tc>
                <w:tcPr>
                  <w:tcW w:w="2854" w:type="dxa"/>
                </w:tcPr>
                <w:p w14:paraId="01520D7E" w14:textId="77777777" w:rsidR="00B05A17" w:rsidRPr="00A95845" w:rsidRDefault="00B05A17" w:rsidP="00707EB3">
                  <w:pPr>
                    <w:spacing w:before="0" w:after="0" w:line="240" w:lineRule="auto"/>
                    <w:contextualSpacing/>
                    <w:jc w:val="both"/>
                    <w:rPr>
                      <w:rFonts w:cs="Arial"/>
                      <w:sz w:val="22"/>
                    </w:rPr>
                  </w:pPr>
                </w:p>
              </w:tc>
            </w:tr>
            <w:tr w:rsidR="00B05A17" w:rsidRPr="00A95845" w14:paraId="5B3C3DF6" w14:textId="77777777" w:rsidTr="00707EB3">
              <w:trPr>
                <w:trHeight w:val="489"/>
              </w:trPr>
              <w:tc>
                <w:tcPr>
                  <w:tcW w:w="2870" w:type="dxa"/>
                </w:tcPr>
                <w:p w14:paraId="74C70986" w14:textId="77777777" w:rsidR="00B05A17" w:rsidRPr="00A95845" w:rsidRDefault="00B05A17" w:rsidP="00707EB3">
                  <w:pPr>
                    <w:spacing w:before="0" w:after="0" w:line="240" w:lineRule="auto"/>
                    <w:contextualSpacing/>
                    <w:jc w:val="both"/>
                    <w:rPr>
                      <w:rFonts w:cs="Arial"/>
                      <w:sz w:val="22"/>
                    </w:rPr>
                  </w:pPr>
                </w:p>
              </w:tc>
              <w:tc>
                <w:tcPr>
                  <w:tcW w:w="2854" w:type="dxa"/>
                </w:tcPr>
                <w:p w14:paraId="12C55D8E" w14:textId="77777777" w:rsidR="00B05A17" w:rsidRPr="00A95845" w:rsidRDefault="00B05A17" w:rsidP="00707EB3">
                  <w:pPr>
                    <w:spacing w:before="0" w:after="0" w:line="240" w:lineRule="auto"/>
                    <w:contextualSpacing/>
                    <w:jc w:val="both"/>
                    <w:rPr>
                      <w:rFonts w:cs="Arial"/>
                      <w:sz w:val="22"/>
                    </w:rPr>
                  </w:pPr>
                </w:p>
              </w:tc>
              <w:tc>
                <w:tcPr>
                  <w:tcW w:w="2854" w:type="dxa"/>
                </w:tcPr>
                <w:p w14:paraId="38A2DE70" w14:textId="77777777" w:rsidR="00B05A17" w:rsidRPr="00A95845" w:rsidRDefault="00B05A17" w:rsidP="00707EB3">
                  <w:pPr>
                    <w:spacing w:before="0" w:after="0" w:line="240" w:lineRule="auto"/>
                    <w:contextualSpacing/>
                    <w:jc w:val="both"/>
                    <w:rPr>
                      <w:rFonts w:cs="Arial"/>
                      <w:sz w:val="22"/>
                    </w:rPr>
                  </w:pPr>
                </w:p>
              </w:tc>
            </w:tr>
            <w:tr w:rsidR="00B05A17" w:rsidRPr="00A95845" w14:paraId="338336F6" w14:textId="77777777" w:rsidTr="00707EB3">
              <w:trPr>
                <w:trHeight w:val="496"/>
              </w:trPr>
              <w:tc>
                <w:tcPr>
                  <w:tcW w:w="2870" w:type="dxa"/>
                </w:tcPr>
                <w:p w14:paraId="3121E6F3" w14:textId="77777777" w:rsidR="00B05A17" w:rsidRPr="00A95845" w:rsidRDefault="00B05A17" w:rsidP="00707EB3">
                  <w:pPr>
                    <w:spacing w:before="0" w:after="0" w:line="240" w:lineRule="auto"/>
                    <w:contextualSpacing/>
                    <w:jc w:val="both"/>
                    <w:rPr>
                      <w:rFonts w:cs="Arial"/>
                      <w:sz w:val="22"/>
                    </w:rPr>
                  </w:pPr>
                </w:p>
              </w:tc>
              <w:tc>
                <w:tcPr>
                  <w:tcW w:w="2854" w:type="dxa"/>
                </w:tcPr>
                <w:p w14:paraId="7CA5D748" w14:textId="77777777" w:rsidR="00B05A17" w:rsidRPr="00A95845" w:rsidRDefault="00B05A17" w:rsidP="00707EB3">
                  <w:pPr>
                    <w:spacing w:before="0" w:after="0" w:line="240" w:lineRule="auto"/>
                    <w:contextualSpacing/>
                    <w:jc w:val="both"/>
                    <w:rPr>
                      <w:rFonts w:cs="Arial"/>
                      <w:sz w:val="22"/>
                    </w:rPr>
                  </w:pPr>
                </w:p>
              </w:tc>
              <w:tc>
                <w:tcPr>
                  <w:tcW w:w="2854" w:type="dxa"/>
                </w:tcPr>
                <w:p w14:paraId="0140F1A7" w14:textId="77777777" w:rsidR="00B05A17" w:rsidRPr="00A95845" w:rsidRDefault="00B05A17" w:rsidP="00707EB3">
                  <w:pPr>
                    <w:spacing w:before="0" w:after="0" w:line="240" w:lineRule="auto"/>
                    <w:contextualSpacing/>
                    <w:jc w:val="both"/>
                    <w:rPr>
                      <w:rFonts w:cs="Arial"/>
                      <w:sz w:val="22"/>
                    </w:rPr>
                  </w:pPr>
                </w:p>
              </w:tc>
            </w:tr>
          </w:tbl>
          <w:p w14:paraId="4BE0440C" w14:textId="77777777" w:rsidR="00B05A17" w:rsidRPr="001D70F2" w:rsidRDefault="00B05A17" w:rsidP="00707EB3">
            <w:pPr>
              <w:spacing w:before="0" w:after="0" w:line="240" w:lineRule="auto"/>
              <w:contextualSpacing/>
              <w:jc w:val="both"/>
              <w:rPr>
                <w:rFonts w:cs="Arial"/>
              </w:rPr>
            </w:pPr>
          </w:p>
          <w:p w14:paraId="759F6D0A" w14:textId="77777777" w:rsidR="00B05A17" w:rsidRDefault="00B05A17" w:rsidP="00707EB3">
            <w:pPr>
              <w:spacing w:before="0" w:after="0" w:line="240" w:lineRule="auto"/>
              <w:contextualSpacing/>
              <w:jc w:val="both"/>
              <w:rPr>
                <w:rFonts w:cs="Arial"/>
              </w:rPr>
            </w:pPr>
          </w:p>
          <w:tbl>
            <w:tblPr>
              <w:tblStyle w:val="Tablaconcuadrcula"/>
              <w:tblW w:w="0" w:type="auto"/>
              <w:tblLayout w:type="fixed"/>
              <w:tblLook w:val="04A0" w:firstRow="1" w:lastRow="0" w:firstColumn="1" w:lastColumn="0" w:noHBand="0" w:noVBand="1"/>
            </w:tblPr>
            <w:tblGrid>
              <w:gridCol w:w="4320"/>
              <w:gridCol w:w="4245"/>
            </w:tblGrid>
            <w:tr w:rsidR="00B05A17" w:rsidRPr="003C4282" w14:paraId="1166D68B" w14:textId="77777777" w:rsidTr="00707EB3">
              <w:trPr>
                <w:trHeight w:val="842"/>
              </w:trPr>
              <w:tc>
                <w:tcPr>
                  <w:tcW w:w="4320" w:type="dxa"/>
                </w:tcPr>
                <w:p w14:paraId="002717B7" w14:textId="77777777" w:rsidR="00B05A17" w:rsidRPr="003C4282" w:rsidRDefault="00B05A17" w:rsidP="00707EB3">
                  <w:pPr>
                    <w:spacing w:before="0" w:after="0" w:line="240" w:lineRule="auto"/>
                    <w:contextualSpacing/>
                    <w:jc w:val="center"/>
                    <w:rPr>
                      <w:rFonts w:cs="Arial"/>
                      <w:b/>
                      <w:sz w:val="22"/>
                    </w:rPr>
                  </w:pPr>
                  <w:r w:rsidRPr="003C4282">
                    <w:rPr>
                      <w:rFonts w:cs="Arial"/>
                      <w:b/>
                      <w:sz w:val="22"/>
                    </w:rPr>
                    <w:t>Por parte de la Superintendencia Nacional de Salud</w:t>
                  </w:r>
                </w:p>
              </w:tc>
              <w:tc>
                <w:tcPr>
                  <w:tcW w:w="4245" w:type="dxa"/>
                </w:tcPr>
                <w:p w14:paraId="76C57D5A" w14:textId="77777777" w:rsidR="00B05A17" w:rsidRPr="003C4282" w:rsidRDefault="00B05A17" w:rsidP="00707EB3">
                  <w:pPr>
                    <w:spacing w:before="0" w:after="0" w:line="240" w:lineRule="auto"/>
                    <w:contextualSpacing/>
                    <w:jc w:val="center"/>
                    <w:rPr>
                      <w:rFonts w:cs="Arial"/>
                      <w:b/>
                      <w:sz w:val="22"/>
                    </w:rPr>
                  </w:pPr>
                  <w:r w:rsidRPr="003C4282">
                    <w:rPr>
                      <w:rFonts w:cs="Arial"/>
                      <w:b/>
                      <w:sz w:val="22"/>
                    </w:rPr>
                    <w:t>Cargo</w:t>
                  </w:r>
                </w:p>
              </w:tc>
            </w:tr>
            <w:tr w:rsidR="00B05A17" w:rsidRPr="003C4282" w14:paraId="66109A88" w14:textId="77777777" w:rsidTr="00707EB3">
              <w:trPr>
                <w:trHeight w:val="501"/>
              </w:trPr>
              <w:tc>
                <w:tcPr>
                  <w:tcW w:w="4320" w:type="dxa"/>
                </w:tcPr>
                <w:p w14:paraId="31414320" w14:textId="77777777" w:rsidR="00B05A17" w:rsidRPr="003C4282" w:rsidRDefault="00B05A17" w:rsidP="00707EB3">
                  <w:pPr>
                    <w:spacing w:before="0" w:after="0" w:line="240" w:lineRule="auto"/>
                    <w:contextualSpacing/>
                    <w:jc w:val="both"/>
                    <w:rPr>
                      <w:rFonts w:cs="Arial"/>
                      <w:sz w:val="22"/>
                    </w:rPr>
                  </w:pPr>
                </w:p>
              </w:tc>
              <w:tc>
                <w:tcPr>
                  <w:tcW w:w="4245" w:type="dxa"/>
                </w:tcPr>
                <w:p w14:paraId="2FB8F80B" w14:textId="77777777" w:rsidR="00B05A17" w:rsidRPr="003C4282" w:rsidRDefault="00B05A17" w:rsidP="00707EB3">
                  <w:pPr>
                    <w:spacing w:before="0" w:after="0" w:line="240" w:lineRule="auto"/>
                    <w:contextualSpacing/>
                    <w:jc w:val="both"/>
                    <w:rPr>
                      <w:rFonts w:cs="Arial"/>
                      <w:sz w:val="22"/>
                    </w:rPr>
                  </w:pPr>
                </w:p>
              </w:tc>
            </w:tr>
            <w:tr w:rsidR="00B05A17" w:rsidRPr="003C4282" w14:paraId="6F3CAA14" w14:textId="77777777" w:rsidTr="00707EB3">
              <w:trPr>
                <w:trHeight w:val="477"/>
              </w:trPr>
              <w:tc>
                <w:tcPr>
                  <w:tcW w:w="4320" w:type="dxa"/>
                </w:tcPr>
                <w:p w14:paraId="260539C3" w14:textId="77777777" w:rsidR="00B05A17" w:rsidRPr="003C4282" w:rsidRDefault="00B05A17" w:rsidP="00707EB3">
                  <w:pPr>
                    <w:spacing w:before="0" w:after="0" w:line="240" w:lineRule="auto"/>
                    <w:contextualSpacing/>
                    <w:jc w:val="both"/>
                    <w:rPr>
                      <w:rFonts w:cs="Arial"/>
                      <w:sz w:val="22"/>
                    </w:rPr>
                  </w:pPr>
                </w:p>
              </w:tc>
              <w:tc>
                <w:tcPr>
                  <w:tcW w:w="4245" w:type="dxa"/>
                </w:tcPr>
                <w:p w14:paraId="3185A5F6" w14:textId="77777777" w:rsidR="00B05A17" w:rsidRPr="003C4282" w:rsidRDefault="00B05A17" w:rsidP="00707EB3">
                  <w:pPr>
                    <w:spacing w:before="0" w:after="0" w:line="240" w:lineRule="auto"/>
                    <w:contextualSpacing/>
                    <w:jc w:val="both"/>
                    <w:rPr>
                      <w:rFonts w:cs="Arial"/>
                      <w:sz w:val="22"/>
                    </w:rPr>
                  </w:pPr>
                </w:p>
              </w:tc>
            </w:tr>
            <w:tr w:rsidR="00B05A17" w:rsidRPr="003C4282" w14:paraId="57EBA193" w14:textId="77777777" w:rsidTr="00707EB3">
              <w:trPr>
                <w:trHeight w:val="515"/>
              </w:trPr>
              <w:tc>
                <w:tcPr>
                  <w:tcW w:w="4320" w:type="dxa"/>
                </w:tcPr>
                <w:p w14:paraId="0555A7B2" w14:textId="77777777" w:rsidR="00B05A17" w:rsidRPr="003C4282" w:rsidRDefault="00B05A17" w:rsidP="00707EB3">
                  <w:pPr>
                    <w:spacing w:before="0" w:after="0" w:line="240" w:lineRule="auto"/>
                    <w:contextualSpacing/>
                    <w:jc w:val="both"/>
                    <w:rPr>
                      <w:rFonts w:cs="Arial"/>
                      <w:sz w:val="22"/>
                    </w:rPr>
                  </w:pPr>
                </w:p>
              </w:tc>
              <w:tc>
                <w:tcPr>
                  <w:tcW w:w="4245" w:type="dxa"/>
                </w:tcPr>
                <w:p w14:paraId="420F16D4" w14:textId="77777777" w:rsidR="00B05A17" w:rsidRPr="003C4282" w:rsidRDefault="00B05A17" w:rsidP="00707EB3">
                  <w:pPr>
                    <w:spacing w:before="0" w:after="0" w:line="240" w:lineRule="auto"/>
                    <w:contextualSpacing/>
                    <w:jc w:val="both"/>
                    <w:rPr>
                      <w:rFonts w:cs="Arial"/>
                      <w:sz w:val="22"/>
                    </w:rPr>
                  </w:pPr>
                </w:p>
              </w:tc>
            </w:tr>
          </w:tbl>
          <w:p w14:paraId="05A26716" w14:textId="77777777" w:rsidR="00B05A17" w:rsidRDefault="00B05A17" w:rsidP="00707EB3">
            <w:pPr>
              <w:pStyle w:val="Ttulo"/>
              <w:spacing w:line="360" w:lineRule="auto"/>
              <w:ind w:right="57"/>
              <w:jc w:val="both"/>
              <w:rPr>
                <w:rFonts w:cs="Arial"/>
                <w:b w:val="0"/>
                <w:sz w:val="24"/>
                <w:szCs w:val="24"/>
              </w:rPr>
            </w:pPr>
          </w:p>
          <w:p w14:paraId="425972EF" w14:textId="77777777" w:rsidR="00B05A17" w:rsidRPr="00F36164" w:rsidRDefault="00B05A17" w:rsidP="00707EB3">
            <w:pPr>
              <w:pStyle w:val="Ttulo"/>
              <w:spacing w:line="360" w:lineRule="auto"/>
              <w:ind w:right="57"/>
              <w:jc w:val="both"/>
              <w:rPr>
                <w:rFonts w:cs="Arial"/>
                <w:b w:val="0"/>
                <w:sz w:val="24"/>
                <w:szCs w:val="24"/>
              </w:rPr>
            </w:pPr>
          </w:p>
        </w:tc>
      </w:tr>
    </w:tbl>
    <w:p w14:paraId="66407ABC" w14:textId="77777777" w:rsidR="00B05A17" w:rsidRPr="00326EE8" w:rsidRDefault="00B05A17" w:rsidP="00B05A17">
      <w:pPr>
        <w:pStyle w:val="Fuente"/>
      </w:pPr>
    </w:p>
    <w:p w14:paraId="6D991356" w14:textId="77777777" w:rsidR="001E3DB3" w:rsidRPr="003A661F" w:rsidRDefault="001E3DB3" w:rsidP="00B05A17">
      <w:pPr>
        <w:pStyle w:val="Sinespaciado"/>
        <w:spacing w:line="360" w:lineRule="auto"/>
        <w:jc w:val="center"/>
        <w:rPr>
          <w:b/>
        </w:rPr>
      </w:pPr>
    </w:p>
    <w:sectPr w:rsidR="001E3DB3" w:rsidRPr="003A661F" w:rsidSect="00065988">
      <w:headerReference w:type="default" r:id="rId19"/>
      <w:footerReference w:type="default" r:id="rId20"/>
      <w:footerReference w:type="first" r:id="rId21"/>
      <w:pgSz w:w="12240" w:h="15840"/>
      <w:pgMar w:top="1701" w:right="1701" w:bottom="1418" w:left="1701" w:header="0" w:footer="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ulieth Diaz Gonzalez" w:date="2026-02-12T06:02:00Z" w:initials="YD">
    <w:p w14:paraId="7D2F531A" w14:textId="472E740E" w:rsidR="00B05A17" w:rsidRDefault="00B05A17" w:rsidP="00B05A17">
      <w:pPr>
        <w:pStyle w:val="Textocomentario"/>
      </w:pPr>
      <w:r>
        <w:rPr>
          <w:rStyle w:val="Refdecomentario"/>
        </w:rPr>
        <w:annotationRef/>
      </w:r>
      <w:r>
        <w:t>Incluir metadatos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2F53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EAC5B" w16cex:dateUtc="2026-02-12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2F531A" w16cid:durableId="105EAC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E666" w14:textId="77777777" w:rsidR="00741265" w:rsidRDefault="00741265" w:rsidP="00CD6908">
      <w:pPr>
        <w:spacing w:after="0" w:line="240" w:lineRule="auto"/>
      </w:pPr>
      <w:r>
        <w:separator/>
      </w:r>
    </w:p>
  </w:endnote>
  <w:endnote w:type="continuationSeparator" w:id="0">
    <w:p w14:paraId="371ABCE1" w14:textId="77777777" w:rsidR="00741265" w:rsidRDefault="00741265"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629BA544"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687EC6C0"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A0E2" w14:textId="5513DC5C" w:rsidR="00065988" w:rsidRDefault="00065988" w:rsidP="00065988">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Pr>
        <w:sz w:val="20"/>
        <w:szCs w:val="20"/>
      </w:rPr>
      <w:t>1</w:t>
    </w:r>
    <w:r w:rsidRPr="00D42328">
      <w:rPr>
        <w:sz w:val="20"/>
        <w:szCs w:val="20"/>
      </w:rPr>
      <w:fldChar w:fldCharType="end"/>
    </w:r>
  </w:p>
  <w:p w14:paraId="3F6062BC" w14:textId="77777777" w:rsidR="00065988" w:rsidRDefault="000659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790E" w14:textId="77777777" w:rsidR="00741265" w:rsidRDefault="00741265" w:rsidP="00CD6908">
      <w:pPr>
        <w:spacing w:after="0" w:line="240" w:lineRule="auto"/>
      </w:pPr>
      <w:r>
        <w:separator/>
      </w:r>
    </w:p>
  </w:footnote>
  <w:footnote w:type="continuationSeparator" w:id="0">
    <w:p w14:paraId="2FF86F71" w14:textId="77777777" w:rsidR="00741265" w:rsidRDefault="00741265"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13E3" w14:textId="6FFE4808" w:rsidR="00E34CD1" w:rsidRDefault="00E34CD1" w:rsidP="004D65AF">
    <w:pPr>
      <w:pStyle w:val="Encabezado"/>
      <w:ind w:left="-993"/>
      <w:jc w:val="right"/>
    </w:pPr>
  </w:p>
  <w:tbl>
    <w:tblPr>
      <w:tblStyle w:val="Tablaconcuadrcula"/>
      <w:tblW w:w="9505" w:type="dxa"/>
      <w:tblInd w:w="-341" w:type="dxa"/>
      <w:tblLook w:val="04A0" w:firstRow="1" w:lastRow="0" w:firstColumn="1" w:lastColumn="0" w:noHBand="0" w:noVBand="1"/>
    </w:tblPr>
    <w:tblGrid>
      <w:gridCol w:w="2268"/>
      <w:gridCol w:w="4678"/>
      <w:gridCol w:w="1218"/>
      <w:gridCol w:w="1341"/>
    </w:tblGrid>
    <w:tr w:rsidR="001C3A3A" w:rsidRPr="003622FD" w14:paraId="544B3ACB" w14:textId="77777777" w:rsidTr="002D56AC">
      <w:tc>
        <w:tcPr>
          <w:tcW w:w="2268" w:type="dxa"/>
          <w:tcBorders>
            <w:top w:val="single" w:sz="4" w:space="0" w:color="auto"/>
            <w:left w:val="single" w:sz="4" w:space="0" w:color="auto"/>
            <w:bottom w:val="nil"/>
            <w:right w:val="single" w:sz="4" w:space="0" w:color="auto"/>
          </w:tcBorders>
        </w:tcPr>
        <w:p w14:paraId="7AF5B810" w14:textId="77777777" w:rsidR="001C3A3A" w:rsidRPr="003622FD" w:rsidRDefault="001C3A3A" w:rsidP="001C3A3A">
          <w:pPr>
            <w:pStyle w:val="Encabezado"/>
            <w:rPr>
              <w:rFonts w:cs="Arial"/>
              <w:b/>
              <w:bCs/>
              <w:sz w:val="22"/>
            </w:rPr>
          </w:pPr>
        </w:p>
      </w:tc>
      <w:tc>
        <w:tcPr>
          <w:tcW w:w="4678" w:type="dxa"/>
          <w:tcBorders>
            <w:top w:val="single" w:sz="4" w:space="0" w:color="auto"/>
            <w:left w:val="single" w:sz="4" w:space="0" w:color="auto"/>
            <w:right w:val="single" w:sz="4" w:space="0" w:color="auto"/>
          </w:tcBorders>
        </w:tcPr>
        <w:p w14:paraId="3FA3498E" w14:textId="2B203481" w:rsidR="001C3A3A" w:rsidRPr="003622FD" w:rsidRDefault="001C3A3A" w:rsidP="002D56AC">
          <w:pPr>
            <w:pStyle w:val="Encabezado"/>
            <w:jc w:val="center"/>
            <w:rPr>
              <w:rFonts w:cs="Arial"/>
              <w:b/>
              <w:bCs/>
              <w:sz w:val="22"/>
            </w:rPr>
          </w:pPr>
          <w:r>
            <w:rPr>
              <w:rFonts w:cs="Arial"/>
              <w:b/>
              <w:bCs/>
              <w:sz w:val="22"/>
            </w:rPr>
            <w:t>PROCESO SEGUIMIENTO Y EVALUACIÓN AL VIGILADO</w:t>
          </w:r>
        </w:p>
      </w:tc>
      <w:tc>
        <w:tcPr>
          <w:tcW w:w="1218" w:type="dxa"/>
          <w:tcBorders>
            <w:left w:val="single" w:sz="4" w:space="0" w:color="auto"/>
          </w:tcBorders>
        </w:tcPr>
        <w:p w14:paraId="76499D48" w14:textId="77777777" w:rsidR="001C3A3A" w:rsidRPr="0016164F" w:rsidRDefault="001C3A3A" w:rsidP="001C3A3A">
          <w:pPr>
            <w:pStyle w:val="Encabezado"/>
            <w:rPr>
              <w:rFonts w:cs="Arial"/>
              <w:b/>
              <w:bCs/>
              <w:sz w:val="20"/>
              <w:szCs w:val="20"/>
            </w:rPr>
          </w:pPr>
          <w:r w:rsidRPr="0016164F">
            <w:rPr>
              <w:rFonts w:cs="Arial"/>
              <w:b/>
              <w:bCs/>
              <w:sz w:val="20"/>
              <w:szCs w:val="20"/>
            </w:rPr>
            <w:t>CÓDIGO</w:t>
          </w:r>
        </w:p>
      </w:tc>
      <w:tc>
        <w:tcPr>
          <w:tcW w:w="1341" w:type="dxa"/>
        </w:tcPr>
        <w:p w14:paraId="0123C50D" w14:textId="7052D7B0" w:rsidR="001C3A3A" w:rsidRPr="0016164F" w:rsidRDefault="001C3A3A" w:rsidP="001C3A3A">
          <w:pPr>
            <w:pStyle w:val="Encabezado"/>
            <w:rPr>
              <w:rFonts w:cs="Arial"/>
              <w:bCs/>
              <w:sz w:val="20"/>
              <w:szCs w:val="20"/>
            </w:rPr>
          </w:pPr>
          <w:r>
            <w:rPr>
              <w:rFonts w:cs="Arial"/>
              <w:bCs/>
              <w:sz w:val="20"/>
              <w:szCs w:val="20"/>
            </w:rPr>
            <w:t>SEFT26</w:t>
          </w:r>
        </w:p>
      </w:tc>
    </w:tr>
    <w:tr w:rsidR="001C3A3A" w:rsidRPr="003622FD" w14:paraId="26F9FDC1" w14:textId="77777777" w:rsidTr="002D56AC">
      <w:tc>
        <w:tcPr>
          <w:tcW w:w="2268" w:type="dxa"/>
          <w:tcBorders>
            <w:top w:val="nil"/>
            <w:left w:val="single" w:sz="4" w:space="0" w:color="auto"/>
            <w:bottom w:val="nil"/>
            <w:right w:val="single" w:sz="4" w:space="0" w:color="auto"/>
          </w:tcBorders>
        </w:tcPr>
        <w:p w14:paraId="651B6AFE" w14:textId="11E9C3C6" w:rsidR="001C3A3A" w:rsidRPr="003622FD" w:rsidRDefault="001C3A3A" w:rsidP="001C3A3A">
          <w:pPr>
            <w:pStyle w:val="Encabezado"/>
            <w:rPr>
              <w:rFonts w:cs="Arial"/>
              <w:b/>
              <w:bCs/>
              <w:sz w:val="22"/>
            </w:rPr>
          </w:pPr>
          <w:r w:rsidRPr="003622FD">
            <w:rPr>
              <w:rFonts w:cs="Arial"/>
              <w:b/>
              <w:bCs/>
              <w:noProof/>
              <w:sz w:val="22"/>
            </w:rPr>
            <w:drawing>
              <wp:anchor distT="0" distB="0" distL="114300" distR="114300" simplePos="0" relativeHeight="251663360" behindDoc="0" locked="0" layoutInCell="1" allowOverlap="1" wp14:anchorId="50084371" wp14:editId="4C2B4F78">
                <wp:simplePos x="0" y="0"/>
                <wp:positionH relativeFrom="column">
                  <wp:posOffset>-37465</wp:posOffset>
                </wp:positionH>
                <wp:positionV relativeFrom="paragraph">
                  <wp:posOffset>-302260</wp:posOffset>
                </wp:positionV>
                <wp:extent cx="1374775" cy="904875"/>
                <wp:effectExtent l="0" t="0" r="0" b="0"/>
                <wp:wrapNone/>
                <wp:docPr id="1695601051" name="Imagen 1695601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291" b="-11487"/>
                        <a:stretch/>
                      </pic:blipFill>
                      <pic:spPr bwMode="auto">
                        <a:xfrm>
                          <a:off x="0" y="0"/>
                          <a:ext cx="137477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tcPr>
        <w:p w14:paraId="67E47121" w14:textId="2A877E81" w:rsidR="001C3A3A" w:rsidRPr="003622FD" w:rsidRDefault="001C3A3A" w:rsidP="002D56AC">
          <w:pPr>
            <w:pStyle w:val="Encabezado"/>
            <w:jc w:val="center"/>
            <w:rPr>
              <w:rFonts w:cs="Arial"/>
              <w:b/>
              <w:bCs/>
              <w:sz w:val="22"/>
            </w:rPr>
          </w:pPr>
          <w:r w:rsidRPr="007B21F2">
            <w:rPr>
              <w:rFonts w:eastAsia="Times New Roman" w:cs="Arial"/>
              <w:b/>
              <w:bCs/>
              <w:sz w:val="22"/>
              <w:lang w:eastAsia="es-CO"/>
            </w:rPr>
            <w:t xml:space="preserve">ACTA DE </w:t>
          </w:r>
          <w:r>
            <w:rPr>
              <w:rFonts w:eastAsia="Times New Roman" w:cs="Arial"/>
              <w:b/>
              <w:bCs/>
              <w:sz w:val="22"/>
              <w:lang w:eastAsia="es-CO"/>
            </w:rPr>
            <w:t>VERIFICACIÓN INTERRUPCIÓN VOLUNTARIA DEL EMBARAZO</w:t>
          </w:r>
        </w:p>
      </w:tc>
      <w:tc>
        <w:tcPr>
          <w:tcW w:w="1218" w:type="dxa"/>
          <w:tcBorders>
            <w:left w:val="single" w:sz="4" w:space="0" w:color="auto"/>
          </w:tcBorders>
        </w:tcPr>
        <w:p w14:paraId="41D4FD8B" w14:textId="77777777" w:rsidR="001C3A3A" w:rsidRPr="0016164F" w:rsidRDefault="001C3A3A" w:rsidP="001C3A3A">
          <w:pPr>
            <w:pStyle w:val="Encabezado"/>
            <w:rPr>
              <w:rFonts w:cs="Arial"/>
              <w:b/>
              <w:bCs/>
              <w:sz w:val="20"/>
              <w:szCs w:val="20"/>
            </w:rPr>
          </w:pPr>
          <w:r w:rsidRPr="0016164F">
            <w:rPr>
              <w:rFonts w:cs="Arial"/>
              <w:b/>
              <w:bCs/>
              <w:sz w:val="20"/>
              <w:szCs w:val="20"/>
            </w:rPr>
            <w:t>VERSIÓN</w:t>
          </w:r>
        </w:p>
      </w:tc>
      <w:tc>
        <w:tcPr>
          <w:tcW w:w="1341" w:type="dxa"/>
        </w:tcPr>
        <w:p w14:paraId="230F8F52" w14:textId="0FF92D59" w:rsidR="001C3A3A" w:rsidRPr="0016164F" w:rsidRDefault="001C3A3A" w:rsidP="001C3A3A">
          <w:pPr>
            <w:pStyle w:val="Encabezado"/>
            <w:rPr>
              <w:rFonts w:cs="Arial"/>
              <w:bCs/>
              <w:sz w:val="20"/>
              <w:szCs w:val="20"/>
            </w:rPr>
          </w:pPr>
          <w:r>
            <w:rPr>
              <w:rFonts w:cs="Arial"/>
              <w:bCs/>
              <w:sz w:val="20"/>
              <w:szCs w:val="20"/>
            </w:rPr>
            <w:t>1</w:t>
          </w:r>
        </w:p>
      </w:tc>
    </w:tr>
    <w:tr w:rsidR="003E232B" w:rsidRPr="003622FD" w14:paraId="79505F1D" w14:textId="77777777" w:rsidTr="005247E9">
      <w:tc>
        <w:tcPr>
          <w:tcW w:w="2268" w:type="dxa"/>
          <w:tcBorders>
            <w:top w:val="nil"/>
            <w:left w:val="single" w:sz="4" w:space="0" w:color="auto"/>
            <w:bottom w:val="single" w:sz="4" w:space="0" w:color="auto"/>
            <w:right w:val="single" w:sz="4" w:space="0" w:color="auto"/>
          </w:tcBorders>
        </w:tcPr>
        <w:p w14:paraId="5F889B18" w14:textId="77777777" w:rsidR="003E232B" w:rsidRPr="003622FD" w:rsidRDefault="003E232B" w:rsidP="003E232B">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16B2DA96" w14:textId="0E53EB84" w:rsidR="003E232B" w:rsidRPr="003622FD" w:rsidRDefault="003E232B" w:rsidP="003E232B">
          <w:pPr>
            <w:pStyle w:val="Encabezado"/>
            <w:rPr>
              <w:rFonts w:cs="Arial"/>
              <w:b/>
              <w:bCs/>
              <w:sz w:val="22"/>
            </w:rPr>
          </w:pPr>
        </w:p>
      </w:tc>
      <w:tc>
        <w:tcPr>
          <w:tcW w:w="1218" w:type="dxa"/>
          <w:tcBorders>
            <w:left w:val="single" w:sz="4" w:space="0" w:color="auto"/>
          </w:tcBorders>
        </w:tcPr>
        <w:p w14:paraId="6678716D" w14:textId="7A0545C2" w:rsidR="003E232B" w:rsidRPr="0016164F" w:rsidRDefault="003E232B" w:rsidP="003E232B">
          <w:pPr>
            <w:pStyle w:val="Encabezado"/>
            <w:rPr>
              <w:rFonts w:cs="Arial"/>
              <w:b/>
              <w:bCs/>
              <w:sz w:val="20"/>
              <w:szCs w:val="20"/>
            </w:rPr>
          </w:pPr>
          <w:r w:rsidRPr="0016164F">
            <w:rPr>
              <w:rFonts w:cs="Arial"/>
              <w:b/>
              <w:bCs/>
              <w:sz w:val="20"/>
              <w:szCs w:val="20"/>
            </w:rPr>
            <w:t>FECHA</w:t>
          </w:r>
        </w:p>
      </w:tc>
      <w:tc>
        <w:tcPr>
          <w:tcW w:w="1341" w:type="dxa"/>
        </w:tcPr>
        <w:p w14:paraId="35A440A2" w14:textId="5BB6B630" w:rsidR="003E232B" w:rsidRPr="0016164F" w:rsidRDefault="003E232B" w:rsidP="003E232B">
          <w:pPr>
            <w:pStyle w:val="Encabezado"/>
            <w:rPr>
              <w:rFonts w:cs="Arial"/>
              <w:bCs/>
              <w:sz w:val="20"/>
              <w:szCs w:val="20"/>
            </w:rPr>
          </w:pPr>
          <w:r>
            <w:rPr>
              <w:rFonts w:cs="Arial"/>
              <w:bCs/>
              <w:sz w:val="20"/>
              <w:szCs w:val="20"/>
            </w:rPr>
            <w:t>13/02/2026</w:t>
          </w:r>
        </w:p>
      </w:tc>
    </w:tr>
  </w:tbl>
  <w:p w14:paraId="767F4E1F" w14:textId="77777777" w:rsidR="004D65AF" w:rsidRDefault="004D65AF" w:rsidP="00FC28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48315D8"/>
    <w:multiLevelType w:val="hybridMultilevel"/>
    <w:tmpl w:val="85164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1911AE"/>
    <w:multiLevelType w:val="hybridMultilevel"/>
    <w:tmpl w:val="9064DE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4575E2"/>
    <w:multiLevelType w:val="hybridMultilevel"/>
    <w:tmpl w:val="4D26FDC8"/>
    <w:lvl w:ilvl="0" w:tplc="85069D50">
      <w:start w:val="1"/>
      <w:numFmt w:val="decimal"/>
      <w:lvlText w:val="%1."/>
      <w:lvlJc w:val="left"/>
      <w:pPr>
        <w:ind w:left="360" w:hanging="360"/>
      </w:pPr>
      <w:rPr>
        <w:rFonts w:hint="default"/>
        <w:b/>
        <w:bCs/>
      </w:rPr>
    </w:lvl>
    <w:lvl w:ilvl="1" w:tplc="240A0019" w:tentative="1">
      <w:start w:val="1"/>
      <w:numFmt w:val="lowerLetter"/>
      <w:lvlText w:val="%2."/>
      <w:lvlJc w:val="left"/>
      <w:pPr>
        <w:ind w:left="1077" w:hanging="360"/>
      </w:pPr>
    </w:lvl>
    <w:lvl w:ilvl="2" w:tplc="240A001B" w:tentative="1">
      <w:start w:val="1"/>
      <w:numFmt w:val="lowerRoman"/>
      <w:lvlText w:val="%3."/>
      <w:lvlJc w:val="right"/>
      <w:pPr>
        <w:ind w:left="1797" w:hanging="180"/>
      </w:pPr>
    </w:lvl>
    <w:lvl w:ilvl="3" w:tplc="240A000F" w:tentative="1">
      <w:start w:val="1"/>
      <w:numFmt w:val="decimal"/>
      <w:lvlText w:val="%4."/>
      <w:lvlJc w:val="left"/>
      <w:pPr>
        <w:ind w:left="2517" w:hanging="360"/>
      </w:pPr>
    </w:lvl>
    <w:lvl w:ilvl="4" w:tplc="240A0019" w:tentative="1">
      <w:start w:val="1"/>
      <w:numFmt w:val="lowerLetter"/>
      <w:lvlText w:val="%5."/>
      <w:lvlJc w:val="left"/>
      <w:pPr>
        <w:ind w:left="3237" w:hanging="360"/>
      </w:pPr>
    </w:lvl>
    <w:lvl w:ilvl="5" w:tplc="240A001B" w:tentative="1">
      <w:start w:val="1"/>
      <w:numFmt w:val="lowerRoman"/>
      <w:lvlText w:val="%6."/>
      <w:lvlJc w:val="right"/>
      <w:pPr>
        <w:ind w:left="3957" w:hanging="180"/>
      </w:pPr>
    </w:lvl>
    <w:lvl w:ilvl="6" w:tplc="240A000F" w:tentative="1">
      <w:start w:val="1"/>
      <w:numFmt w:val="decimal"/>
      <w:lvlText w:val="%7."/>
      <w:lvlJc w:val="left"/>
      <w:pPr>
        <w:ind w:left="4677" w:hanging="360"/>
      </w:pPr>
    </w:lvl>
    <w:lvl w:ilvl="7" w:tplc="240A0019" w:tentative="1">
      <w:start w:val="1"/>
      <w:numFmt w:val="lowerLetter"/>
      <w:lvlText w:val="%8."/>
      <w:lvlJc w:val="left"/>
      <w:pPr>
        <w:ind w:left="5397" w:hanging="360"/>
      </w:pPr>
    </w:lvl>
    <w:lvl w:ilvl="8" w:tplc="240A001B" w:tentative="1">
      <w:start w:val="1"/>
      <w:numFmt w:val="lowerRoman"/>
      <w:lvlText w:val="%9."/>
      <w:lvlJc w:val="right"/>
      <w:pPr>
        <w:ind w:left="6117" w:hanging="180"/>
      </w:pPr>
    </w:lvl>
  </w:abstractNum>
  <w:abstractNum w:abstractNumId="20"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DE76AA6"/>
    <w:multiLevelType w:val="hybridMultilevel"/>
    <w:tmpl w:val="3B42D9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6961521">
    <w:abstractNumId w:val="10"/>
  </w:num>
  <w:num w:numId="2" w16cid:durableId="939483622">
    <w:abstractNumId w:val="8"/>
  </w:num>
  <w:num w:numId="3" w16cid:durableId="1658263378">
    <w:abstractNumId w:val="9"/>
  </w:num>
  <w:num w:numId="4" w16cid:durableId="726683027">
    <w:abstractNumId w:val="3"/>
  </w:num>
  <w:num w:numId="5" w16cid:durableId="305018231">
    <w:abstractNumId w:val="13"/>
  </w:num>
  <w:num w:numId="6" w16cid:durableId="578713664">
    <w:abstractNumId w:val="0"/>
  </w:num>
  <w:num w:numId="7" w16cid:durableId="521164354">
    <w:abstractNumId w:val="20"/>
  </w:num>
  <w:num w:numId="8" w16cid:durableId="2123111134">
    <w:abstractNumId w:val="7"/>
  </w:num>
  <w:num w:numId="9" w16cid:durableId="1689333721">
    <w:abstractNumId w:val="15"/>
  </w:num>
  <w:num w:numId="10" w16cid:durableId="219873904">
    <w:abstractNumId w:val="21"/>
  </w:num>
  <w:num w:numId="11" w16cid:durableId="1401640076">
    <w:abstractNumId w:val="17"/>
  </w:num>
  <w:num w:numId="12" w16cid:durableId="391467105">
    <w:abstractNumId w:val="2"/>
  </w:num>
  <w:num w:numId="13" w16cid:durableId="1388915823">
    <w:abstractNumId w:val="11"/>
  </w:num>
  <w:num w:numId="14" w16cid:durableId="1180700167">
    <w:abstractNumId w:val="22"/>
  </w:num>
  <w:num w:numId="15" w16cid:durableId="1571383103">
    <w:abstractNumId w:val="16"/>
  </w:num>
  <w:num w:numId="16" w16cid:durableId="2038238668">
    <w:abstractNumId w:val="14"/>
  </w:num>
  <w:num w:numId="17" w16cid:durableId="65154425">
    <w:abstractNumId w:val="6"/>
  </w:num>
  <w:num w:numId="18" w16cid:durableId="840854040">
    <w:abstractNumId w:val="4"/>
  </w:num>
  <w:num w:numId="19" w16cid:durableId="1170557145">
    <w:abstractNumId w:val="5"/>
  </w:num>
  <w:num w:numId="20" w16cid:durableId="653947170">
    <w:abstractNumId w:val="1"/>
  </w:num>
  <w:num w:numId="21" w16cid:durableId="358315541">
    <w:abstractNumId w:val="19"/>
  </w:num>
  <w:num w:numId="22" w16cid:durableId="268974346">
    <w:abstractNumId w:val="12"/>
  </w:num>
  <w:num w:numId="23" w16cid:durableId="658728101">
    <w:abstractNumId w:val="18"/>
  </w:num>
  <w:num w:numId="24" w16cid:durableId="161081814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lieth Diaz Gonzalez">
    <w15:presenceInfo w15:providerId="AD" w15:userId="S::yulieth.diaz@supersalud.gov.co::45899249-c471-409e-b36d-e609ffa0b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6ECF"/>
    <w:rsid w:val="0005164E"/>
    <w:rsid w:val="00065988"/>
    <w:rsid w:val="000762A7"/>
    <w:rsid w:val="00081E1A"/>
    <w:rsid w:val="000933D8"/>
    <w:rsid w:val="00096ADF"/>
    <w:rsid w:val="000A07FE"/>
    <w:rsid w:val="000A6698"/>
    <w:rsid w:val="000C31C6"/>
    <w:rsid w:val="000C5BDC"/>
    <w:rsid w:val="000E0FA8"/>
    <w:rsid w:val="000E172C"/>
    <w:rsid w:val="000F176B"/>
    <w:rsid w:val="0010018C"/>
    <w:rsid w:val="001012E0"/>
    <w:rsid w:val="001048B6"/>
    <w:rsid w:val="00106D5C"/>
    <w:rsid w:val="00115089"/>
    <w:rsid w:val="00121AC3"/>
    <w:rsid w:val="00121C52"/>
    <w:rsid w:val="001229A1"/>
    <w:rsid w:val="0014345B"/>
    <w:rsid w:val="00150BB8"/>
    <w:rsid w:val="00151C7E"/>
    <w:rsid w:val="001547DE"/>
    <w:rsid w:val="00156C5D"/>
    <w:rsid w:val="001601A3"/>
    <w:rsid w:val="0016164F"/>
    <w:rsid w:val="0017222E"/>
    <w:rsid w:val="001835F3"/>
    <w:rsid w:val="00190B3C"/>
    <w:rsid w:val="00195CDA"/>
    <w:rsid w:val="001A78CD"/>
    <w:rsid w:val="001B6187"/>
    <w:rsid w:val="001B6733"/>
    <w:rsid w:val="001C3A3A"/>
    <w:rsid w:val="001D2DC4"/>
    <w:rsid w:val="001D32AE"/>
    <w:rsid w:val="001D3B0E"/>
    <w:rsid w:val="001E00E0"/>
    <w:rsid w:val="001E1E6D"/>
    <w:rsid w:val="001E3DB3"/>
    <w:rsid w:val="001E6A54"/>
    <w:rsid w:val="001F106A"/>
    <w:rsid w:val="001F5864"/>
    <w:rsid w:val="00216E4A"/>
    <w:rsid w:val="00224576"/>
    <w:rsid w:val="00237626"/>
    <w:rsid w:val="002416AB"/>
    <w:rsid w:val="002452D8"/>
    <w:rsid w:val="00250E27"/>
    <w:rsid w:val="00263638"/>
    <w:rsid w:val="00271100"/>
    <w:rsid w:val="002717F5"/>
    <w:rsid w:val="00273F1E"/>
    <w:rsid w:val="00280086"/>
    <w:rsid w:val="00284CAB"/>
    <w:rsid w:val="0028699D"/>
    <w:rsid w:val="00292CE5"/>
    <w:rsid w:val="0029437D"/>
    <w:rsid w:val="002967AB"/>
    <w:rsid w:val="002A04AE"/>
    <w:rsid w:val="002A04BB"/>
    <w:rsid w:val="002A2667"/>
    <w:rsid w:val="002A2EDB"/>
    <w:rsid w:val="002A3665"/>
    <w:rsid w:val="002B45EC"/>
    <w:rsid w:val="002C1478"/>
    <w:rsid w:val="002C2259"/>
    <w:rsid w:val="002C4320"/>
    <w:rsid w:val="002C4B01"/>
    <w:rsid w:val="002D2520"/>
    <w:rsid w:val="002D2BAB"/>
    <w:rsid w:val="002D56AC"/>
    <w:rsid w:val="002D5A0C"/>
    <w:rsid w:val="002D7F94"/>
    <w:rsid w:val="002E21B1"/>
    <w:rsid w:val="002E2EC4"/>
    <w:rsid w:val="002E72AA"/>
    <w:rsid w:val="002F5811"/>
    <w:rsid w:val="002F7E81"/>
    <w:rsid w:val="00302B27"/>
    <w:rsid w:val="003035BA"/>
    <w:rsid w:val="0031468F"/>
    <w:rsid w:val="00323671"/>
    <w:rsid w:val="00326EE8"/>
    <w:rsid w:val="003316A4"/>
    <w:rsid w:val="00357C0F"/>
    <w:rsid w:val="00367D89"/>
    <w:rsid w:val="00370FD8"/>
    <w:rsid w:val="003763AD"/>
    <w:rsid w:val="003836D7"/>
    <w:rsid w:val="00384F74"/>
    <w:rsid w:val="00391573"/>
    <w:rsid w:val="00392452"/>
    <w:rsid w:val="003955AE"/>
    <w:rsid w:val="00396951"/>
    <w:rsid w:val="00397FC4"/>
    <w:rsid w:val="003A2969"/>
    <w:rsid w:val="003A661F"/>
    <w:rsid w:val="003B208C"/>
    <w:rsid w:val="003B28D1"/>
    <w:rsid w:val="003C4282"/>
    <w:rsid w:val="003C6662"/>
    <w:rsid w:val="003D0A3C"/>
    <w:rsid w:val="003D3053"/>
    <w:rsid w:val="003E232B"/>
    <w:rsid w:val="003E2AEB"/>
    <w:rsid w:val="003F32E7"/>
    <w:rsid w:val="003F5145"/>
    <w:rsid w:val="003F5D79"/>
    <w:rsid w:val="00405EC7"/>
    <w:rsid w:val="00416A29"/>
    <w:rsid w:val="004178CD"/>
    <w:rsid w:val="00433085"/>
    <w:rsid w:val="00436C74"/>
    <w:rsid w:val="00440056"/>
    <w:rsid w:val="00441EB8"/>
    <w:rsid w:val="00443479"/>
    <w:rsid w:val="00455106"/>
    <w:rsid w:val="00465D20"/>
    <w:rsid w:val="00471B38"/>
    <w:rsid w:val="00472676"/>
    <w:rsid w:val="00490CB6"/>
    <w:rsid w:val="004B0932"/>
    <w:rsid w:val="004B1310"/>
    <w:rsid w:val="004B17C8"/>
    <w:rsid w:val="004B40F5"/>
    <w:rsid w:val="004B644F"/>
    <w:rsid w:val="004B6BB7"/>
    <w:rsid w:val="004C24D8"/>
    <w:rsid w:val="004C70BD"/>
    <w:rsid w:val="004D1D6E"/>
    <w:rsid w:val="004D65AF"/>
    <w:rsid w:val="004F0AE8"/>
    <w:rsid w:val="005027DC"/>
    <w:rsid w:val="00505A43"/>
    <w:rsid w:val="005111F0"/>
    <w:rsid w:val="005116C6"/>
    <w:rsid w:val="005245DC"/>
    <w:rsid w:val="005247E9"/>
    <w:rsid w:val="00524BF2"/>
    <w:rsid w:val="00525EAD"/>
    <w:rsid w:val="0053221B"/>
    <w:rsid w:val="00535378"/>
    <w:rsid w:val="00546231"/>
    <w:rsid w:val="00551EAF"/>
    <w:rsid w:val="0055704E"/>
    <w:rsid w:val="00574E06"/>
    <w:rsid w:val="00581581"/>
    <w:rsid w:val="00586A2C"/>
    <w:rsid w:val="005873E4"/>
    <w:rsid w:val="00597B6F"/>
    <w:rsid w:val="005A1BC7"/>
    <w:rsid w:val="005A5BA9"/>
    <w:rsid w:val="005B461D"/>
    <w:rsid w:val="005C4480"/>
    <w:rsid w:val="005D0122"/>
    <w:rsid w:val="005E1EBB"/>
    <w:rsid w:val="005E2041"/>
    <w:rsid w:val="005E4D0D"/>
    <w:rsid w:val="005E5F46"/>
    <w:rsid w:val="005E7E66"/>
    <w:rsid w:val="00602A7F"/>
    <w:rsid w:val="006052C4"/>
    <w:rsid w:val="00614597"/>
    <w:rsid w:val="00646089"/>
    <w:rsid w:val="0065584B"/>
    <w:rsid w:val="0066486C"/>
    <w:rsid w:val="00681BFC"/>
    <w:rsid w:val="00697925"/>
    <w:rsid w:val="006A3250"/>
    <w:rsid w:val="006B1A06"/>
    <w:rsid w:val="006B1A7D"/>
    <w:rsid w:val="006B4ED8"/>
    <w:rsid w:val="006C00D0"/>
    <w:rsid w:val="006D17ED"/>
    <w:rsid w:val="006D2B31"/>
    <w:rsid w:val="006D2D4C"/>
    <w:rsid w:val="006D2ED3"/>
    <w:rsid w:val="006D4680"/>
    <w:rsid w:val="006E193C"/>
    <w:rsid w:val="006E20AE"/>
    <w:rsid w:val="006E2945"/>
    <w:rsid w:val="006E3C24"/>
    <w:rsid w:val="006F2DAB"/>
    <w:rsid w:val="006F547E"/>
    <w:rsid w:val="006F6160"/>
    <w:rsid w:val="00700E06"/>
    <w:rsid w:val="007136E5"/>
    <w:rsid w:val="00717F33"/>
    <w:rsid w:val="007204C2"/>
    <w:rsid w:val="00720E3A"/>
    <w:rsid w:val="007279E2"/>
    <w:rsid w:val="00727EC4"/>
    <w:rsid w:val="007311B2"/>
    <w:rsid w:val="00734951"/>
    <w:rsid w:val="00741265"/>
    <w:rsid w:val="007416FD"/>
    <w:rsid w:val="00741C65"/>
    <w:rsid w:val="00751E87"/>
    <w:rsid w:val="00754431"/>
    <w:rsid w:val="00760CFA"/>
    <w:rsid w:val="00764557"/>
    <w:rsid w:val="00765CF1"/>
    <w:rsid w:val="00767956"/>
    <w:rsid w:val="0077490D"/>
    <w:rsid w:val="007775C9"/>
    <w:rsid w:val="007801DC"/>
    <w:rsid w:val="00794DB7"/>
    <w:rsid w:val="007954F6"/>
    <w:rsid w:val="007A07BC"/>
    <w:rsid w:val="007A2846"/>
    <w:rsid w:val="007A6D05"/>
    <w:rsid w:val="007B10AE"/>
    <w:rsid w:val="007C0448"/>
    <w:rsid w:val="007F0111"/>
    <w:rsid w:val="007F284D"/>
    <w:rsid w:val="00811680"/>
    <w:rsid w:val="00812813"/>
    <w:rsid w:val="0081374E"/>
    <w:rsid w:val="00814AF3"/>
    <w:rsid w:val="00815B3B"/>
    <w:rsid w:val="00820A0C"/>
    <w:rsid w:val="008273BE"/>
    <w:rsid w:val="00833408"/>
    <w:rsid w:val="008352E9"/>
    <w:rsid w:val="0084152C"/>
    <w:rsid w:val="00846B60"/>
    <w:rsid w:val="008531F5"/>
    <w:rsid w:val="00853DE3"/>
    <w:rsid w:val="00856960"/>
    <w:rsid w:val="0086442E"/>
    <w:rsid w:val="008718D3"/>
    <w:rsid w:val="00886223"/>
    <w:rsid w:val="008871EC"/>
    <w:rsid w:val="008A3795"/>
    <w:rsid w:val="008B586A"/>
    <w:rsid w:val="008D46F9"/>
    <w:rsid w:val="008E592A"/>
    <w:rsid w:val="008F6FA7"/>
    <w:rsid w:val="008F7E2B"/>
    <w:rsid w:val="009016C6"/>
    <w:rsid w:val="009039A6"/>
    <w:rsid w:val="00906E02"/>
    <w:rsid w:val="00911913"/>
    <w:rsid w:val="0091741A"/>
    <w:rsid w:val="00920B83"/>
    <w:rsid w:val="00924F3D"/>
    <w:rsid w:val="0093001A"/>
    <w:rsid w:val="009330B0"/>
    <w:rsid w:val="0093354B"/>
    <w:rsid w:val="0095096A"/>
    <w:rsid w:val="009522F4"/>
    <w:rsid w:val="00954BCA"/>
    <w:rsid w:val="00955E9A"/>
    <w:rsid w:val="009561C4"/>
    <w:rsid w:val="00962954"/>
    <w:rsid w:val="009B324B"/>
    <w:rsid w:val="009B4804"/>
    <w:rsid w:val="009D315B"/>
    <w:rsid w:val="009D4844"/>
    <w:rsid w:val="009D561B"/>
    <w:rsid w:val="009F0B7E"/>
    <w:rsid w:val="009F34F9"/>
    <w:rsid w:val="009F4DB0"/>
    <w:rsid w:val="009F5AD1"/>
    <w:rsid w:val="00A02952"/>
    <w:rsid w:val="00A0431F"/>
    <w:rsid w:val="00A043D8"/>
    <w:rsid w:val="00A15E48"/>
    <w:rsid w:val="00A345F1"/>
    <w:rsid w:val="00A36D0D"/>
    <w:rsid w:val="00A415A9"/>
    <w:rsid w:val="00A4778C"/>
    <w:rsid w:val="00A52095"/>
    <w:rsid w:val="00A54751"/>
    <w:rsid w:val="00A563D9"/>
    <w:rsid w:val="00A63484"/>
    <w:rsid w:val="00A64214"/>
    <w:rsid w:val="00A77EF4"/>
    <w:rsid w:val="00A801C8"/>
    <w:rsid w:val="00A8200E"/>
    <w:rsid w:val="00A83109"/>
    <w:rsid w:val="00A95845"/>
    <w:rsid w:val="00A96557"/>
    <w:rsid w:val="00AA2192"/>
    <w:rsid w:val="00AA7947"/>
    <w:rsid w:val="00AB0A16"/>
    <w:rsid w:val="00AC38C7"/>
    <w:rsid w:val="00AC7594"/>
    <w:rsid w:val="00AC7B9C"/>
    <w:rsid w:val="00AD1970"/>
    <w:rsid w:val="00AD6353"/>
    <w:rsid w:val="00AF127C"/>
    <w:rsid w:val="00AF60D5"/>
    <w:rsid w:val="00AF7CBF"/>
    <w:rsid w:val="00B0071F"/>
    <w:rsid w:val="00B02F2C"/>
    <w:rsid w:val="00B03366"/>
    <w:rsid w:val="00B052E3"/>
    <w:rsid w:val="00B05A17"/>
    <w:rsid w:val="00B05E44"/>
    <w:rsid w:val="00B12CC4"/>
    <w:rsid w:val="00B15505"/>
    <w:rsid w:val="00B238F1"/>
    <w:rsid w:val="00B34780"/>
    <w:rsid w:val="00B52205"/>
    <w:rsid w:val="00B52707"/>
    <w:rsid w:val="00B7410C"/>
    <w:rsid w:val="00B75E4D"/>
    <w:rsid w:val="00B766F2"/>
    <w:rsid w:val="00B774EA"/>
    <w:rsid w:val="00B822A1"/>
    <w:rsid w:val="00B96754"/>
    <w:rsid w:val="00BA031B"/>
    <w:rsid w:val="00BC307E"/>
    <w:rsid w:val="00BC3EB2"/>
    <w:rsid w:val="00BC4F34"/>
    <w:rsid w:val="00BE17B5"/>
    <w:rsid w:val="00BF08DE"/>
    <w:rsid w:val="00BF273B"/>
    <w:rsid w:val="00BF6201"/>
    <w:rsid w:val="00C05581"/>
    <w:rsid w:val="00C07DAD"/>
    <w:rsid w:val="00C14299"/>
    <w:rsid w:val="00C1555A"/>
    <w:rsid w:val="00C16B28"/>
    <w:rsid w:val="00C222C4"/>
    <w:rsid w:val="00C2368A"/>
    <w:rsid w:val="00C32E3F"/>
    <w:rsid w:val="00C336EA"/>
    <w:rsid w:val="00C514D8"/>
    <w:rsid w:val="00C51A10"/>
    <w:rsid w:val="00C56072"/>
    <w:rsid w:val="00C57715"/>
    <w:rsid w:val="00C64FAF"/>
    <w:rsid w:val="00C94EC1"/>
    <w:rsid w:val="00CA479B"/>
    <w:rsid w:val="00CA7E46"/>
    <w:rsid w:val="00CA7E55"/>
    <w:rsid w:val="00CB1405"/>
    <w:rsid w:val="00CD6908"/>
    <w:rsid w:val="00CE6C51"/>
    <w:rsid w:val="00CF070E"/>
    <w:rsid w:val="00D024A7"/>
    <w:rsid w:val="00D05366"/>
    <w:rsid w:val="00D05B94"/>
    <w:rsid w:val="00D06554"/>
    <w:rsid w:val="00D0736C"/>
    <w:rsid w:val="00D16708"/>
    <w:rsid w:val="00D2036D"/>
    <w:rsid w:val="00D26DBB"/>
    <w:rsid w:val="00D30B13"/>
    <w:rsid w:val="00D40C84"/>
    <w:rsid w:val="00D40E8D"/>
    <w:rsid w:val="00D42328"/>
    <w:rsid w:val="00D460AB"/>
    <w:rsid w:val="00D4793F"/>
    <w:rsid w:val="00D52F69"/>
    <w:rsid w:val="00D5513F"/>
    <w:rsid w:val="00D83AD6"/>
    <w:rsid w:val="00D8682E"/>
    <w:rsid w:val="00DA017B"/>
    <w:rsid w:val="00DA4597"/>
    <w:rsid w:val="00DA73E8"/>
    <w:rsid w:val="00DB1632"/>
    <w:rsid w:val="00DB634A"/>
    <w:rsid w:val="00DC1BAF"/>
    <w:rsid w:val="00DD134F"/>
    <w:rsid w:val="00DD1491"/>
    <w:rsid w:val="00DD4DB9"/>
    <w:rsid w:val="00DD61D4"/>
    <w:rsid w:val="00DD7300"/>
    <w:rsid w:val="00DE3C88"/>
    <w:rsid w:val="00DF001B"/>
    <w:rsid w:val="00DF3FBE"/>
    <w:rsid w:val="00DF7E41"/>
    <w:rsid w:val="00E02620"/>
    <w:rsid w:val="00E052D4"/>
    <w:rsid w:val="00E06C0B"/>
    <w:rsid w:val="00E14F5F"/>
    <w:rsid w:val="00E17CF9"/>
    <w:rsid w:val="00E27972"/>
    <w:rsid w:val="00E344BB"/>
    <w:rsid w:val="00E34CD1"/>
    <w:rsid w:val="00E43E78"/>
    <w:rsid w:val="00E44A5E"/>
    <w:rsid w:val="00E52085"/>
    <w:rsid w:val="00E661EC"/>
    <w:rsid w:val="00E667AA"/>
    <w:rsid w:val="00E73E1E"/>
    <w:rsid w:val="00E821B9"/>
    <w:rsid w:val="00E86497"/>
    <w:rsid w:val="00E86F6B"/>
    <w:rsid w:val="00E938CA"/>
    <w:rsid w:val="00EA5270"/>
    <w:rsid w:val="00EA79FE"/>
    <w:rsid w:val="00EB20C6"/>
    <w:rsid w:val="00EB2D5D"/>
    <w:rsid w:val="00EB3808"/>
    <w:rsid w:val="00EB3FA9"/>
    <w:rsid w:val="00EB7812"/>
    <w:rsid w:val="00EC5885"/>
    <w:rsid w:val="00ED5195"/>
    <w:rsid w:val="00EE4EBC"/>
    <w:rsid w:val="00EE7A87"/>
    <w:rsid w:val="00F00383"/>
    <w:rsid w:val="00F03272"/>
    <w:rsid w:val="00F15BFE"/>
    <w:rsid w:val="00F26059"/>
    <w:rsid w:val="00F27904"/>
    <w:rsid w:val="00F316E9"/>
    <w:rsid w:val="00F412C4"/>
    <w:rsid w:val="00F50593"/>
    <w:rsid w:val="00F53536"/>
    <w:rsid w:val="00F55996"/>
    <w:rsid w:val="00F5782D"/>
    <w:rsid w:val="00F61FE9"/>
    <w:rsid w:val="00F74C74"/>
    <w:rsid w:val="00F77570"/>
    <w:rsid w:val="00F83975"/>
    <w:rsid w:val="00F9181C"/>
    <w:rsid w:val="00FB10E5"/>
    <w:rsid w:val="00FB3DCC"/>
    <w:rsid w:val="00FC1414"/>
    <w:rsid w:val="00FC282D"/>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aliases w:val="Tabla con cuadrícula - Supersalud"/>
    <w:basedOn w:val="Tablanormal"/>
    <w:uiPriority w:val="3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 w:type="paragraph" w:customStyle="1" w:styleId="paragraph">
    <w:name w:val="paragraph"/>
    <w:basedOn w:val="Normal"/>
    <w:rsid w:val="00065988"/>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Fuentedeprrafopredeter"/>
    <w:rsid w:val="00065988"/>
  </w:style>
  <w:style w:type="character" w:customStyle="1" w:styleId="eop">
    <w:name w:val="eop"/>
    <w:basedOn w:val="Fuentedeprrafopredeter"/>
    <w:rsid w:val="00065988"/>
  </w:style>
  <w:style w:type="paragraph" w:styleId="Ttulo">
    <w:name w:val="Title"/>
    <w:basedOn w:val="Normal"/>
    <w:link w:val="TtuloCar"/>
    <w:qFormat/>
    <w:rsid w:val="00B05A17"/>
    <w:pPr>
      <w:spacing w:before="0" w:after="0" w:line="240" w:lineRule="auto"/>
      <w:jc w:val="center"/>
    </w:pPr>
    <w:rPr>
      <w:rFonts w:eastAsia="Times New Roman" w:cs="Times New Roman"/>
      <w:b/>
      <w:sz w:val="22"/>
      <w:szCs w:val="20"/>
      <w:lang w:val="es-MX" w:eastAsia="es-ES_tradnl"/>
    </w:rPr>
  </w:style>
  <w:style w:type="character" w:customStyle="1" w:styleId="TtuloCar">
    <w:name w:val="Título Car"/>
    <w:basedOn w:val="Fuentedeprrafopredeter"/>
    <w:link w:val="Ttulo"/>
    <w:rsid w:val="00B05A17"/>
    <w:rPr>
      <w:rFonts w:ascii="Arial" w:eastAsia="Times New Roman" w:hAnsi="Arial" w:cs="Times New Roman"/>
      <w:b/>
      <w:szCs w:val="2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SEFT26</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2026-02-13T05:00:00+00:00</Fecha_x0020_de_x0020_generación_x0020_de_x0020_la_x0020_información>
    <Tipo_de_Norma xmlns="b6565643-c00f-44ce-b5d1-532a85e4382c">No aplica</Tipo_de_Norma>
    <Serie xmlns="cfd7d055-4c42-4b1a-a19c-7e601acfe3a8">18</Serie>
    <Fecha_x0020_final_x0020_de_x0020_publicación xmlns="b6565643-c00f-44ce-b5d1-532a85e4382c" xsi:nil="true"/>
    <Frecuencia_de_actualizacion xmlns="b6565643-c00f-44ce-b5d1-532a85e4382c">Por demanda</Frecuencia_de_actualizacion>
    <Mes_Plantilla xmlns="b6565643-c00f-44ce-b5d1-532a85e4382c">febrero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Acta de verificación interrupción voluntaria del embarazo</Descripcion>
    <Ano_Plantilla xmlns="b6565643-c00f-44ce-b5d1-532a85e4382c">2025</Ano_Plantilla>
    <Informacion_publicada_o_disponible xmlns="b6565643-c00f-44ce-b5d1-532a85e4382c">https://www.supersalud.gov.co/es-co/nuestra-entidad/estructura-organica-y-talento-humano/procesos-y-procedimientos</Informacion_publicada_o_disponible>
    <Sub-Serie xmlns="cfd7d055-4c42-4b1a-a19c-7e601acfe3a8">560</Sub-Seri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2026-02-13T05:00:00+00:00</Fecha_x0020_de_x0020_inicio_x0020_de_x0020_publicación>
    <Tipo_x0020_Documental xmlns="cfd7d055-4c42-4b1a-a19c-7e601acfe3a8">1686</Tipo_x0020_Documental>
    <_dlc_DocId xmlns="b6565643-c00f-44ce-b5d1-532a85e4382c">XQAF2AT3N76N-114-4893</_dlc_DocId>
    <_dlc_DocIdUrl xmlns="b6565643-c00f-44ce-b5d1-532a85e4382c">
      <Url>https://docs.supersalud.gov.co/PortalWeb/planeacion/_layouts/15/DocIdRedir.aspx?ID=XQAF2AT3N76N-114-4893</Url>
      <Description>XQAF2AT3N76N-114-4893</Description>
    </_dlc_DocIdUrl>
    <DLCPolicyLabelClientValue xmlns="60c38085-413c-455a-bf36-609d76e3b506">Copia Controlada</DLCPolicyLabelClientValue>
    <DLCPolicyLabelLock xmlns="60c38085-413c-455a-bf36-609d76e3b506" xsi:nil="true"/>
    <DLCPolicyLabelValue xmlns="60c38085-413c-455a-bf36-609d76e3b506">Copia Controlada</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D160D4-8EB0-423A-BFE6-DE50B70A4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78F23-250E-4F03-984B-4AC628547EF1}">
  <ds:schemaRefs>
    <ds:schemaRef ds:uri="http://schemas.openxmlformats.org/officeDocument/2006/bibliography"/>
  </ds:schemaRefs>
</ds:datastoreItem>
</file>

<file path=customXml/itemProps4.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http://schemas.microsoft.com/sharepoint/v3/fields"/>
    <ds:schemaRef ds:uri="60c38085-413c-455a-bf36-609d76e3b506"/>
  </ds:schemaRefs>
</ds:datastoreItem>
</file>

<file path=customXml/itemProps5.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6.xml><?xml version="1.0" encoding="utf-8"?>
<ds:datastoreItem xmlns:ds="http://schemas.openxmlformats.org/officeDocument/2006/customXml" ds:itemID="{2A23523F-AE5D-4DD7-994F-C24511C00E40}">
  <ds:schemaRefs>
    <ds:schemaRef ds:uri="http://schemas.microsoft.com/sharepoint/events"/>
  </ds:schemaRefs>
</ds:datastoreItem>
</file>

<file path=customXml/itemProps7.xml><?xml version="1.0" encoding="utf-8"?>
<ds:datastoreItem xmlns:ds="http://schemas.openxmlformats.org/officeDocument/2006/customXml" ds:itemID="{BBCC7EC2-92AE-4B0F-AD5B-87A85CD8D7B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3331</Words>
  <Characters>17993</Characters>
  <Application>Microsoft Office Word</Application>
  <DocSecurity>0</DocSecurity>
  <Lines>545</Lines>
  <Paragraphs>177</Paragraphs>
  <ScaleCrop>false</ScaleCrop>
  <HeadingPairs>
    <vt:vector size="2" baseType="variant">
      <vt:variant>
        <vt:lpstr>Título</vt:lpstr>
      </vt:variant>
      <vt:variant>
        <vt:i4>1</vt:i4>
      </vt:variant>
    </vt:vector>
  </HeadingPairs>
  <TitlesOfParts>
    <vt:vector size="1" baseType="lpstr">
      <vt:lpstr>Acta de seguimiento en campo al vigilado en medida</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verificación interrupción voluntaria del embarazo</dc:title>
  <dc:subject>Subtítulo o descripción del manual</dc:subject>
  <dc:creator>jlozano@supersalud.gov.co</dc:creator>
  <cp:keywords>SEFT26</cp:keywords>
  <dc:description/>
  <cp:lastModifiedBy>Marcela Andrea Garcia Guerrero</cp:lastModifiedBy>
  <cp:revision>3</cp:revision>
  <cp:lastPrinted>2021-12-09T20:17:00Z</cp:lastPrinted>
  <dcterms:created xsi:type="dcterms:W3CDTF">2026-02-13T21:34:00Z</dcterms:created>
  <dcterms:modified xsi:type="dcterms:W3CDTF">2026-02-13T21:36:00Z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af65b50b-cf79-451a-9fa9-a9014692fffc</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